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13EAA" w14:textId="41BA3F99" w:rsidR="00BB4694" w:rsidRPr="00BB4694" w:rsidRDefault="00BB4694" w:rsidP="00BB4694">
      <w:pPr>
        <w:pStyle w:val="TITLE1"/>
        <w:spacing w:before="1701"/>
        <w:rPr>
          <w:color w:val="auto"/>
          <w:sz w:val="72"/>
          <w:szCs w:val="72"/>
        </w:rPr>
      </w:pPr>
      <w:bookmarkStart w:id="0" w:name="_Toc64367199"/>
      <w:bookmarkStart w:id="1" w:name="_Toc30506386"/>
      <w:bookmarkStart w:id="2" w:name="_Toc67057520"/>
      <w:r w:rsidRPr="00BB4694">
        <w:rPr>
          <w:color w:val="auto"/>
          <w:sz w:val="72"/>
          <w:szCs w:val="72"/>
        </w:rPr>
        <w:t xml:space="preserve">COVID-19 Community </w:t>
      </w:r>
      <w:r w:rsidR="00E2513D">
        <w:rPr>
          <w:color w:val="auto"/>
          <w:sz w:val="72"/>
          <w:szCs w:val="72"/>
        </w:rPr>
        <w:t>Recover</w:t>
      </w:r>
      <w:r w:rsidR="006B570D">
        <w:rPr>
          <w:color w:val="auto"/>
          <w:sz w:val="72"/>
          <w:szCs w:val="72"/>
        </w:rPr>
        <w:t>y</w:t>
      </w:r>
      <w:r w:rsidR="00E2513D">
        <w:rPr>
          <w:color w:val="auto"/>
          <w:sz w:val="72"/>
          <w:szCs w:val="72"/>
        </w:rPr>
        <w:t xml:space="preserve"> </w:t>
      </w:r>
      <w:r w:rsidRPr="00BB4694">
        <w:rPr>
          <w:color w:val="auto"/>
          <w:sz w:val="72"/>
          <w:szCs w:val="72"/>
        </w:rPr>
        <w:t>Quick Response Grant</w:t>
      </w:r>
      <w:bookmarkEnd w:id="0"/>
      <w:bookmarkEnd w:id="1"/>
      <w:r w:rsidR="006B570D">
        <w:rPr>
          <w:color w:val="auto"/>
          <w:sz w:val="72"/>
          <w:szCs w:val="72"/>
        </w:rPr>
        <w:t xml:space="preserve"> Program</w:t>
      </w:r>
      <w:bookmarkEnd w:id="2"/>
    </w:p>
    <w:p w14:paraId="4F7DDE8B" w14:textId="77777777" w:rsidR="00BB4694" w:rsidRPr="00BB4694" w:rsidRDefault="00BB4694" w:rsidP="00BB4694">
      <w:pPr>
        <w:pStyle w:val="Title2"/>
        <w:rPr>
          <w:color w:val="auto"/>
        </w:rPr>
      </w:pPr>
      <w:r w:rsidRPr="00BB4694">
        <w:rPr>
          <w:color w:val="auto"/>
        </w:rPr>
        <w:t>2021 Guidelines</w:t>
      </w:r>
    </w:p>
    <w:p w14:paraId="6B94AB45" w14:textId="203D584D" w:rsidR="00964956" w:rsidRPr="00BB4694" w:rsidRDefault="00964956" w:rsidP="00465F07">
      <w:pPr>
        <w:pStyle w:val="Title"/>
        <w:rPr>
          <w:color w:val="auto"/>
        </w:rPr>
      </w:pPr>
      <w:r w:rsidRPr="00BB4694">
        <w:rPr>
          <w:color w:val="auto"/>
        </w:rP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sz w:val="22"/>
        </w:rPr>
      </w:sdtEndPr>
      <w:sdtContent>
        <w:p w14:paraId="2DF15239" w14:textId="63B2CE62" w:rsidR="00F957EA" w:rsidRDefault="00F957EA">
          <w:pPr>
            <w:pStyle w:val="TOCHeading"/>
          </w:pPr>
          <w:r>
            <w:t>Contents</w:t>
          </w:r>
        </w:p>
        <w:p w14:paraId="351C3EE3" w14:textId="0A41BBFC" w:rsidR="00E5753B" w:rsidRDefault="00F957EA">
          <w:pPr>
            <w:pStyle w:val="TOC1"/>
            <w:tabs>
              <w:tab w:val="right" w:leader="dot" w:pos="9628"/>
            </w:tabs>
            <w:rPr>
              <w:rFonts w:asciiTheme="minorHAnsi" w:eastAsiaTheme="minorEastAsia" w:hAnsiTheme="minorHAnsi" w:cstheme="minorBidi"/>
              <w:noProof/>
              <w:color w:val="auto"/>
              <w:lang w:eastAsia="en-AU"/>
            </w:rPr>
          </w:pPr>
          <w:r>
            <w:fldChar w:fldCharType="begin"/>
          </w:r>
          <w:r>
            <w:instrText xml:space="preserve"> TOC \o "1-3" \h \z \u </w:instrText>
          </w:r>
          <w:r>
            <w:fldChar w:fldCharType="separate"/>
          </w:r>
          <w:hyperlink w:anchor="_Toc67057520" w:history="1">
            <w:r w:rsidR="00E5753B" w:rsidRPr="002C418A">
              <w:rPr>
                <w:rStyle w:val="Hyperlink"/>
                <w:noProof/>
              </w:rPr>
              <w:t>COVID-19 Community Recovery Quick Response Grant Program</w:t>
            </w:r>
            <w:r w:rsidR="00E5753B">
              <w:rPr>
                <w:noProof/>
                <w:webHidden/>
              </w:rPr>
              <w:tab/>
            </w:r>
            <w:r w:rsidR="00E5753B">
              <w:rPr>
                <w:noProof/>
                <w:webHidden/>
              </w:rPr>
              <w:fldChar w:fldCharType="begin"/>
            </w:r>
            <w:r w:rsidR="00E5753B">
              <w:rPr>
                <w:noProof/>
                <w:webHidden/>
              </w:rPr>
              <w:instrText xml:space="preserve"> PAGEREF _Toc67057520 \h </w:instrText>
            </w:r>
            <w:r w:rsidR="00E5753B">
              <w:rPr>
                <w:noProof/>
                <w:webHidden/>
              </w:rPr>
            </w:r>
            <w:r w:rsidR="00E5753B">
              <w:rPr>
                <w:noProof/>
                <w:webHidden/>
              </w:rPr>
              <w:fldChar w:fldCharType="separate"/>
            </w:r>
            <w:r w:rsidR="00E5753B">
              <w:rPr>
                <w:noProof/>
                <w:webHidden/>
              </w:rPr>
              <w:t>1</w:t>
            </w:r>
            <w:r w:rsidR="00E5753B">
              <w:rPr>
                <w:noProof/>
                <w:webHidden/>
              </w:rPr>
              <w:fldChar w:fldCharType="end"/>
            </w:r>
          </w:hyperlink>
        </w:p>
        <w:p w14:paraId="17A55CD0" w14:textId="43018539" w:rsidR="00E5753B" w:rsidRDefault="00E5753B">
          <w:pPr>
            <w:pStyle w:val="TOC1"/>
            <w:tabs>
              <w:tab w:val="right" w:leader="dot" w:pos="9628"/>
            </w:tabs>
            <w:rPr>
              <w:rFonts w:asciiTheme="minorHAnsi" w:eastAsiaTheme="minorEastAsia" w:hAnsiTheme="minorHAnsi" w:cstheme="minorBidi"/>
              <w:noProof/>
              <w:color w:val="auto"/>
              <w:lang w:eastAsia="en-AU"/>
            </w:rPr>
          </w:pPr>
          <w:hyperlink w:anchor="_Toc67057521" w:history="1">
            <w:r w:rsidRPr="002C418A">
              <w:rPr>
                <w:rStyle w:val="Hyperlink"/>
                <w:noProof/>
              </w:rPr>
              <w:t>City of Port Phillip COVID-19 Community Recovery Quick Response Grant Program Guidelines 2021</w:t>
            </w:r>
            <w:r>
              <w:rPr>
                <w:noProof/>
                <w:webHidden/>
              </w:rPr>
              <w:tab/>
            </w:r>
            <w:r>
              <w:rPr>
                <w:noProof/>
                <w:webHidden/>
              </w:rPr>
              <w:fldChar w:fldCharType="begin"/>
            </w:r>
            <w:r>
              <w:rPr>
                <w:noProof/>
                <w:webHidden/>
              </w:rPr>
              <w:instrText xml:space="preserve"> PAGEREF _Toc67057521 \h </w:instrText>
            </w:r>
            <w:r>
              <w:rPr>
                <w:noProof/>
                <w:webHidden/>
              </w:rPr>
            </w:r>
            <w:r>
              <w:rPr>
                <w:noProof/>
                <w:webHidden/>
              </w:rPr>
              <w:fldChar w:fldCharType="separate"/>
            </w:r>
            <w:r>
              <w:rPr>
                <w:noProof/>
                <w:webHidden/>
              </w:rPr>
              <w:t>3</w:t>
            </w:r>
            <w:r>
              <w:rPr>
                <w:noProof/>
                <w:webHidden/>
              </w:rPr>
              <w:fldChar w:fldCharType="end"/>
            </w:r>
          </w:hyperlink>
        </w:p>
        <w:p w14:paraId="3DE662F1" w14:textId="345BA42A"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2" w:history="1">
            <w:r w:rsidRPr="002C418A">
              <w:rPr>
                <w:rStyle w:val="Hyperlink"/>
                <w:noProof/>
              </w:rPr>
              <w:t>Acknowledgment of country</w:t>
            </w:r>
            <w:r>
              <w:rPr>
                <w:noProof/>
                <w:webHidden/>
              </w:rPr>
              <w:tab/>
            </w:r>
            <w:r>
              <w:rPr>
                <w:noProof/>
                <w:webHidden/>
              </w:rPr>
              <w:fldChar w:fldCharType="begin"/>
            </w:r>
            <w:r>
              <w:rPr>
                <w:noProof/>
                <w:webHidden/>
              </w:rPr>
              <w:instrText xml:space="preserve"> PAGEREF _Toc67057522 \h </w:instrText>
            </w:r>
            <w:r>
              <w:rPr>
                <w:noProof/>
                <w:webHidden/>
              </w:rPr>
            </w:r>
            <w:r>
              <w:rPr>
                <w:noProof/>
                <w:webHidden/>
              </w:rPr>
              <w:fldChar w:fldCharType="separate"/>
            </w:r>
            <w:r>
              <w:rPr>
                <w:noProof/>
                <w:webHidden/>
              </w:rPr>
              <w:t>3</w:t>
            </w:r>
            <w:r>
              <w:rPr>
                <w:noProof/>
                <w:webHidden/>
              </w:rPr>
              <w:fldChar w:fldCharType="end"/>
            </w:r>
          </w:hyperlink>
        </w:p>
        <w:p w14:paraId="4A6E870D" w14:textId="677DD3DA"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3" w:history="1">
            <w:r w:rsidRPr="002C418A">
              <w:rPr>
                <w:rStyle w:val="Hyperlink"/>
                <w:noProof/>
              </w:rPr>
              <w:t>Introduction to program</w:t>
            </w:r>
            <w:r>
              <w:rPr>
                <w:noProof/>
                <w:webHidden/>
              </w:rPr>
              <w:tab/>
            </w:r>
            <w:r>
              <w:rPr>
                <w:noProof/>
                <w:webHidden/>
              </w:rPr>
              <w:fldChar w:fldCharType="begin"/>
            </w:r>
            <w:r>
              <w:rPr>
                <w:noProof/>
                <w:webHidden/>
              </w:rPr>
              <w:instrText xml:space="preserve"> PAGEREF _Toc67057523 \h </w:instrText>
            </w:r>
            <w:r>
              <w:rPr>
                <w:noProof/>
                <w:webHidden/>
              </w:rPr>
            </w:r>
            <w:r>
              <w:rPr>
                <w:noProof/>
                <w:webHidden/>
              </w:rPr>
              <w:fldChar w:fldCharType="separate"/>
            </w:r>
            <w:r>
              <w:rPr>
                <w:noProof/>
                <w:webHidden/>
              </w:rPr>
              <w:t>3</w:t>
            </w:r>
            <w:r>
              <w:rPr>
                <w:noProof/>
                <w:webHidden/>
              </w:rPr>
              <w:fldChar w:fldCharType="end"/>
            </w:r>
          </w:hyperlink>
        </w:p>
        <w:p w14:paraId="0D3FCCDA" w14:textId="560CF6F7"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4" w:history="1">
            <w:r w:rsidRPr="002C418A">
              <w:rPr>
                <w:rStyle w:val="Hyperlink"/>
                <w:noProof/>
              </w:rPr>
              <w:t>Program Objectives</w:t>
            </w:r>
            <w:r>
              <w:rPr>
                <w:noProof/>
                <w:webHidden/>
              </w:rPr>
              <w:tab/>
            </w:r>
            <w:r>
              <w:rPr>
                <w:noProof/>
                <w:webHidden/>
              </w:rPr>
              <w:fldChar w:fldCharType="begin"/>
            </w:r>
            <w:r>
              <w:rPr>
                <w:noProof/>
                <w:webHidden/>
              </w:rPr>
              <w:instrText xml:space="preserve"> PAGEREF _Toc67057524 \h </w:instrText>
            </w:r>
            <w:r>
              <w:rPr>
                <w:noProof/>
                <w:webHidden/>
              </w:rPr>
            </w:r>
            <w:r>
              <w:rPr>
                <w:noProof/>
                <w:webHidden/>
              </w:rPr>
              <w:fldChar w:fldCharType="separate"/>
            </w:r>
            <w:r>
              <w:rPr>
                <w:noProof/>
                <w:webHidden/>
              </w:rPr>
              <w:t>3</w:t>
            </w:r>
            <w:r>
              <w:rPr>
                <w:noProof/>
                <w:webHidden/>
              </w:rPr>
              <w:fldChar w:fldCharType="end"/>
            </w:r>
          </w:hyperlink>
        </w:p>
        <w:p w14:paraId="63A2737A" w14:textId="6D86DB83"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5" w:history="1">
            <w:r w:rsidRPr="002C418A">
              <w:rPr>
                <w:rStyle w:val="Hyperlink"/>
                <w:noProof/>
              </w:rPr>
              <w:t>About COVID-19 Community Recovery Quick Response Grants Program</w:t>
            </w:r>
            <w:r>
              <w:rPr>
                <w:noProof/>
                <w:webHidden/>
              </w:rPr>
              <w:tab/>
            </w:r>
            <w:r>
              <w:rPr>
                <w:noProof/>
                <w:webHidden/>
              </w:rPr>
              <w:fldChar w:fldCharType="begin"/>
            </w:r>
            <w:r>
              <w:rPr>
                <w:noProof/>
                <w:webHidden/>
              </w:rPr>
              <w:instrText xml:space="preserve"> PAGEREF _Toc67057525 \h </w:instrText>
            </w:r>
            <w:r>
              <w:rPr>
                <w:noProof/>
                <w:webHidden/>
              </w:rPr>
            </w:r>
            <w:r>
              <w:rPr>
                <w:noProof/>
                <w:webHidden/>
              </w:rPr>
              <w:fldChar w:fldCharType="separate"/>
            </w:r>
            <w:r>
              <w:rPr>
                <w:noProof/>
                <w:webHidden/>
              </w:rPr>
              <w:t>4</w:t>
            </w:r>
            <w:r>
              <w:rPr>
                <w:noProof/>
                <w:webHidden/>
              </w:rPr>
              <w:fldChar w:fldCharType="end"/>
            </w:r>
          </w:hyperlink>
        </w:p>
        <w:p w14:paraId="6A34F692" w14:textId="280BC1DD"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6" w:history="1">
            <w:r w:rsidRPr="002C418A">
              <w:rPr>
                <w:rStyle w:val="Hyperlink"/>
                <w:noProof/>
              </w:rPr>
              <w:t>Eligibility</w:t>
            </w:r>
            <w:r>
              <w:rPr>
                <w:noProof/>
                <w:webHidden/>
              </w:rPr>
              <w:tab/>
            </w:r>
            <w:r>
              <w:rPr>
                <w:noProof/>
                <w:webHidden/>
              </w:rPr>
              <w:fldChar w:fldCharType="begin"/>
            </w:r>
            <w:r>
              <w:rPr>
                <w:noProof/>
                <w:webHidden/>
              </w:rPr>
              <w:instrText xml:space="preserve"> PAGEREF _Toc67057526 \h </w:instrText>
            </w:r>
            <w:r>
              <w:rPr>
                <w:noProof/>
                <w:webHidden/>
              </w:rPr>
            </w:r>
            <w:r>
              <w:rPr>
                <w:noProof/>
                <w:webHidden/>
              </w:rPr>
              <w:fldChar w:fldCharType="separate"/>
            </w:r>
            <w:r>
              <w:rPr>
                <w:noProof/>
                <w:webHidden/>
              </w:rPr>
              <w:t>4</w:t>
            </w:r>
            <w:r>
              <w:rPr>
                <w:noProof/>
                <w:webHidden/>
              </w:rPr>
              <w:fldChar w:fldCharType="end"/>
            </w:r>
          </w:hyperlink>
        </w:p>
        <w:p w14:paraId="0CE4246C" w14:textId="0BD548B1"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7" w:history="1">
            <w:r w:rsidRPr="002C418A">
              <w:rPr>
                <w:rStyle w:val="Hyperlink"/>
                <w:noProof/>
              </w:rPr>
              <w:t>What can be funded?</w:t>
            </w:r>
            <w:r>
              <w:rPr>
                <w:noProof/>
                <w:webHidden/>
              </w:rPr>
              <w:tab/>
            </w:r>
            <w:r>
              <w:rPr>
                <w:noProof/>
                <w:webHidden/>
              </w:rPr>
              <w:fldChar w:fldCharType="begin"/>
            </w:r>
            <w:r>
              <w:rPr>
                <w:noProof/>
                <w:webHidden/>
              </w:rPr>
              <w:instrText xml:space="preserve"> PAGEREF _Toc67057527 \h </w:instrText>
            </w:r>
            <w:r>
              <w:rPr>
                <w:noProof/>
                <w:webHidden/>
              </w:rPr>
            </w:r>
            <w:r>
              <w:rPr>
                <w:noProof/>
                <w:webHidden/>
              </w:rPr>
              <w:fldChar w:fldCharType="separate"/>
            </w:r>
            <w:r>
              <w:rPr>
                <w:noProof/>
                <w:webHidden/>
              </w:rPr>
              <w:t>4</w:t>
            </w:r>
            <w:r>
              <w:rPr>
                <w:noProof/>
                <w:webHidden/>
              </w:rPr>
              <w:fldChar w:fldCharType="end"/>
            </w:r>
          </w:hyperlink>
        </w:p>
        <w:p w14:paraId="2755ED7F" w14:textId="28467836"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8" w:history="1">
            <w:r w:rsidRPr="002C418A">
              <w:rPr>
                <w:rStyle w:val="Hyperlink"/>
                <w:noProof/>
              </w:rPr>
              <w:t>What can’t be funded (exclusions)?</w:t>
            </w:r>
            <w:r>
              <w:rPr>
                <w:noProof/>
                <w:webHidden/>
              </w:rPr>
              <w:tab/>
            </w:r>
            <w:r>
              <w:rPr>
                <w:noProof/>
                <w:webHidden/>
              </w:rPr>
              <w:fldChar w:fldCharType="begin"/>
            </w:r>
            <w:r>
              <w:rPr>
                <w:noProof/>
                <w:webHidden/>
              </w:rPr>
              <w:instrText xml:space="preserve"> PAGEREF _Toc67057528 \h </w:instrText>
            </w:r>
            <w:r>
              <w:rPr>
                <w:noProof/>
                <w:webHidden/>
              </w:rPr>
            </w:r>
            <w:r>
              <w:rPr>
                <w:noProof/>
                <w:webHidden/>
              </w:rPr>
              <w:fldChar w:fldCharType="separate"/>
            </w:r>
            <w:r>
              <w:rPr>
                <w:noProof/>
                <w:webHidden/>
              </w:rPr>
              <w:t>4</w:t>
            </w:r>
            <w:r>
              <w:rPr>
                <w:noProof/>
                <w:webHidden/>
              </w:rPr>
              <w:fldChar w:fldCharType="end"/>
            </w:r>
          </w:hyperlink>
        </w:p>
        <w:p w14:paraId="2684E5B3" w14:textId="4954D70A"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29" w:history="1">
            <w:r w:rsidRPr="002C418A">
              <w:rPr>
                <w:rStyle w:val="Hyperlink"/>
                <w:noProof/>
              </w:rPr>
              <w:t>Assessment Process</w:t>
            </w:r>
            <w:r>
              <w:rPr>
                <w:noProof/>
                <w:webHidden/>
              </w:rPr>
              <w:tab/>
            </w:r>
            <w:r>
              <w:rPr>
                <w:noProof/>
                <w:webHidden/>
              </w:rPr>
              <w:fldChar w:fldCharType="begin"/>
            </w:r>
            <w:r>
              <w:rPr>
                <w:noProof/>
                <w:webHidden/>
              </w:rPr>
              <w:instrText xml:space="preserve"> PAGEREF _Toc67057529 \h </w:instrText>
            </w:r>
            <w:r>
              <w:rPr>
                <w:noProof/>
                <w:webHidden/>
              </w:rPr>
            </w:r>
            <w:r>
              <w:rPr>
                <w:noProof/>
                <w:webHidden/>
              </w:rPr>
              <w:fldChar w:fldCharType="separate"/>
            </w:r>
            <w:r>
              <w:rPr>
                <w:noProof/>
                <w:webHidden/>
              </w:rPr>
              <w:t>5</w:t>
            </w:r>
            <w:r>
              <w:rPr>
                <w:noProof/>
                <w:webHidden/>
              </w:rPr>
              <w:fldChar w:fldCharType="end"/>
            </w:r>
          </w:hyperlink>
        </w:p>
        <w:p w14:paraId="536CBF38" w14:textId="64F68F1D"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0" w:history="1">
            <w:r w:rsidRPr="002C418A">
              <w:rPr>
                <w:rStyle w:val="Hyperlink"/>
                <w:noProof/>
              </w:rPr>
              <w:t>Assessment Criteria</w:t>
            </w:r>
            <w:r>
              <w:rPr>
                <w:noProof/>
                <w:webHidden/>
              </w:rPr>
              <w:tab/>
            </w:r>
            <w:r>
              <w:rPr>
                <w:noProof/>
                <w:webHidden/>
              </w:rPr>
              <w:fldChar w:fldCharType="begin"/>
            </w:r>
            <w:r>
              <w:rPr>
                <w:noProof/>
                <w:webHidden/>
              </w:rPr>
              <w:instrText xml:space="preserve"> PAGEREF _Toc67057530 \h </w:instrText>
            </w:r>
            <w:r>
              <w:rPr>
                <w:noProof/>
                <w:webHidden/>
              </w:rPr>
            </w:r>
            <w:r>
              <w:rPr>
                <w:noProof/>
                <w:webHidden/>
              </w:rPr>
              <w:fldChar w:fldCharType="separate"/>
            </w:r>
            <w:r>
              <w:rPr>
                <w:noProof/>
                <w:webHidden/>
              </w:rPr>
              <w:t>5</w:t>
            </w:r>
            <w:r>
              <w:rPr>
                <w:noProof/>
                <w:webHidden/>
              </w:rPr>
              <w:fldChar w:fldCharType="end"/>
            </w:r>
          </w:hyperlink>
        </w:p>
        <w:p w14:paraId="0DF0B438" w14:textId="1EC6AA8E"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1" w:history="1">
            <w:r w:rsidRPr="002C418A">
              <w:rPr>
                <w:rStyle w:val="Hyperlink"/>
                <w:noProof/>
              </w:rPr>
              <w:t>Support Documentation Required</w:t>
            </w:r>
            <w:r>
              <w:rPr>
                <w:noProof/>
                <w:webHidden/>
              </w:rPr>
              <w:tab/>
            </w:r>
            <w:r>
              <w:rPr>
                <w:noProof/>
                <w:webHidden/>
              </w:rPr>
              <w:fldChar w:fldCharType="begin"/>
            </w:r>
            <w:r>
              <w:rPr>
                <w:noProof/>
                <w:webHidden/>
              </w:rPr>
              <w:instrText xml:space="preserve"> PAGEREF _Toc67057531 \h </w:instrText>
            </w:r>
            <w:r>
              <w:rPr>
                <w:noProof/>
                <w:webHidden/>
              </w:rPr>
            </w:r>
            <w:r>
              <w:rPr>
                <w:noProof/>
                <w:webHidden/>
              </w:rPr>
              <w:fldChar w:fldCharType="separate"/>
            </w:r>
            <w:r>
              <w:rPr>
                <w:noProof/>
                <w:webHidden/>
              </w:rPr>
              <w:t>6</w:t>
            </w:r>
            <w:r>
              <w:rPr>
                <w:noProof/>
                <w:webHidden/>
              </w:rPr>
              <w:fldChar w:fldCharType="end"/>
            </w:r>
          </w:hyperlink>
        </w:p>
        <w:p w14:paraId="663E78E5" w14:textId="535B86EF"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2" w:history="1">
            <w:r w:rsidRPr="002C418A">
              <w:rPr>
                <w:rStyle w:val="Hyperlink"/>
                <w:noProof/>
              </w:rPr>
              <w:t>Support Provided by Council</w:t>
            </w:r>
            <w:r>
              <w:rPr>
                <w:noProof/>
                <w:webHidden/>
              </w:rPr>
              <w:tab/>
            </w:r>
            <w:r>
              <w:rPr>
                <w:noProof/>
                <w:webHidden/>
              </w:rPr>
              <w:fldChar w:fldCharType="begin"/>
            </w:r>
            <w:r>
              <w:rPr>
                <w:noProof/>
                <w:webHidden/>
              </w:rPr>
              <w:instrText xml:space="preserve"> PAGEREF _Toc67057532 \h </w:instrText>
            </w:r>
            <w:r>
              <w:rPr>
                <w:noProof/>
                <w:webHidden/>
              </w:rPr>
            </w:r>
            <w:r>
              <w:rPr>
                <w:noProof/>
                <w:webHidden/>
              </w:rPr>
              <w:fldChar w:fldCharType="separate"/>
            </w:r>
            <w:r>
              <w:rPr>
                <w:noProof/>
                <w:webHidden/>
              </w:rPr>
              <w:t>6</w:t>
            </w:r>
            <w:r>
              <w:rPr>
                <w:noProof/>
                <w:webHidden/>
              </w:rPr>
              <w:fldChar w:fldCharType="end"/>
            </w:r>
          </w:hyperlink>
        </w:p>
        <w:p w14:paraId="05B0DE02" w14:textId="23526CE5"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3" w:history="1">
            <w:r w:rsidRPr="002C418A">
              <w:rPr>
                <w:rStyle w:val="Hyperlink"/>
                <w:noProof/>
              </w:rPr>
              <w:t>Funding Principles</w:t>
            </w:r>
            <w:r>
              <w:rPr>
                <w:noProof/>
                <w:webHidden/>
              </w:rPr>
              <w:tab/>
            </w:r>
            <w:r>
              <w:rPr>
                <w:noProof/>
                <w:webHidden/>
              </w:rPr>
              <w:fldChar w:fldCharType="begin"/>
            </w:r>
            <w:r>
              <w:rPr>
                <w:noProof/>
                <w:webHidden/>
              </w:rPr>
              <w:instrText xml:space="preserve"> PAGEREF _Toc67057533 \h </w:instrText>
            </w:r>
            <w:r>
              <w:rPr>
                <w:noProof/>
                <w:webHidden/>
              </w:rPr>
            </w:r>
            <w:r>
              <w:rPr>
                <w:noProof/>
                <w:webHidden/>
              </w:rPr>
              <w:fldChar w:fldCharType="separate"/>
            </w:r>
            <w:r>
              <w:rPr>
                <w:noProof/>
                <w:webHidden/>
              </w:rPr>
              <w:t>6</w:t>
            </w:r>
            <w:r>
              <w:rPr>
                <w:noProof/>
                <w:webHidden/>
              </w:rPr>
              <w:fldChar w:fldCharType="end"/>
            </w:r>
          </w:hyperlink>
        </w:p>
        <w:p w14:paraId="6D41AD05" w14:textId="2E94D82A"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4" w:history="1">
            <w:r w:rsidRPr="002C418A">
              <w:rPr>
                <w:rStyle w:val="Hyperlink"/>
                <w:noProof/>
              </w:rPr>
              <w:t>Access and Inclusion</w:t>
            </w:r>
            <w:r>
              <w:rPr>
                <w:noProof/>
                <w:webHidden/>
              </w:rPr>
              <w:tab/>
            </w:r>
            <w:r>
              <w:rPr>
                <w:noProof/>
                <w:webHidden/>
              </w:rPr>
              <w:fldChar w:fldCharType="begin"/>
            </w:r>
            <w:r>
              <w:rPr>
                <w:noProof/>
                <w:webHidden/>
              </w:rPr>
              <w:instrText xml:space="preserve"> PAGEREF _Toc67057534 \h </w:instrText>
            </w:r>
            <w:r>
              <w:rPr>
                <w:noProof/>
                <w:webHidden/>
              </w:rPr>
            </w:r>
            <w:r>
              <w:rPr>
                <w:noProof/>
                <w:webHidden/>
              </w:rPr>
              <w:fldChar w:fldCharType="separate"/>
            </w:r>
            <w:r>
              <w:rPr>
                <w:noProof/>
                <w:webHidden/>
              </w:rPr>
              <w:t>6</w:t>
            </w:r>
            <w:r>
              <w:rPr>
                <w:noProof/>
                <w:webHidden/>
              </w:rPr>
              <w:fldChar w:fldCharType="end"/>
            </w:r>
          </w:hyperlink>
        </w:p>
        <w:p w14:paraId="0B977ECC" w14:textId="65B15D0F"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5" w:history="1">
            <w:r w:rsidRPr="002C418A">
              <w:rPr>
                <w:rStyle w:val="Hyperlink"/>
                <w:noProof/>
              </w:rPr>
              <w:t>Ensuring a child safe City of Port Phillip</w:t>
            </w:r>
            <w:r>
              <w:rPr>
                <w:noProof/>
                <w:webHidden/>
              </w:rPr>
              <w:tab/>
            </w:r>
            <w:r>
              <w:rPr>
                <w:noProof/>
                <w:webHidden/>
              </w:rPr>
              <w:fldChar w:fldCharType="begin"/>
            </w:r>
            <w:r>
              <w:rPr>
                <w:noProof/>
                <w:webHidden/>
              </w:rPr>
              <w:instrText xml:space="preserve"> PAGEREF _Toc67057535 \h </w:instrText>
            </w:r>
            <w:r>
              <w:rPr>
                <w:noProof/>
                <w:webHidden/>
              </w:rPr>
            </w:r>
            <w:r>
              <w:rPr>
                <w:noProof/>
                <w:webHidden/>
              </w:rPr>
              <w:fldChar w:fldCharType="separate"/>
            </w:r>
            <w:r>
              <w:rPr>
                <w:noProof/>
                <w:webHidden/>
              </w:rPr>
              <w:t>7</w:t>
            </w:r>
            <w:r>
              <w:rPr>
                <w:noProof/>
                <w:webHidden/>
              </w:rPr>
              <w:fldChar w:fldCharType="end"/>
            </w:r>
          </w:hyperlink>
        </w:p>
        <w:p w14:paraId="4DE813D4" w14:textId="0D96D0DA"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6" w:history="1">
            <w:r w:rsidRPr="002C418A">
              <w:rPr>
                <w:rStyle w:val="Hyperlink"/>
                <w:noProof/>
              </w:rPr>
              <w:t>Sustainability</w:t>
            </w:r>
            <w:r>
              <w:rPr>
                <w:noProof/>
                <w:webHidden/>
              </w:rPr>
              <w:tab/>
            </w:r>
            <w:r>
              <w:rPr>
                <w:noProof/>
                <w:webHidden/>
              </w:rPr>
              <w:fldChar w:fldCharType="begin"/>
            </w:r>
            <w:r>
              <w:rPr>
                <w:noProof/>
                <w:webHidden/>
              </w:rPr>
              <w:instrText xml:space="preserve"> PAGEREF _Toc67057536 \h </w:instrText>
            </w:r>
            <w:r>
              <w:rPr>
                <w:noProof/>
                <w:webHidden/>
              </w:rPr>
            </w:r>
            <w:r>
              <w:rPr>
                <w:noProof/>
                <w:webHidden/>
              </w:rPr>
              <w:fldChar w:fldCharType="separate"/>
            </w:r>
            <w:r>
              <w:rPr>
                <w:noProof/>
                <w:webHidden/>
              </w:rPr>
              <w:t>7</w:t>
            </w:r>
            <w:r>
              <w:rPr>
                <w:noProof/>
                <w:webHidden/>
              </w:rPr>
              <w:fldChar w:fldCharType="end"/>
            </w:r>
          </w:hyperlink>
        </w:p>
        <w:p w14:paraId="5B4D7CF0" w14:textId="09727743"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7" w:history="1">
            <w:r w:rsidRPr="002C418A">
              <w:rPr>
                <w:rStyle w:val="Hyperlink"/>
                <w:noProof/>
              </w:rPr>
              <w:t>Lobbying</w:t>
            </w:r>
            <w:r>
              <w:rPr>
                <w:noProof/>
                <w:webHidden/>
              </w:rPr>
              <w:tab/>
            </w:r>
            <w:r>
              <w:rPr>
                <w:noProof/>
                <w:webHidden/>
              </w:rPr>
              <w:fldChar w:fldCharType="begin"/>
            </w:r>
            <w:r>
              <w:rPr>
                <w:noProof/>
                <w:webHidden/>
              </w:rPr>
              <w:instrText xml:space="preserve"> PAGEREF _Toc67057537 \h </w:instrText>
            </w:r>
            <w:r>
              <w:rPr>
                <w:noProof/>
                <w:webHidden/>
              </w:rPr>
            </w:r>
            <w:r>
              <w:rPr>
                <w:noProof/>
                <w:webHidden/>
              </w:rPr>
              <w:fldChar w:fldCharType="separate"/>
            </w:r>
            <w:r>
              <w:rPr>
                <w:noProof/>
                <w:webHidden/>
              </w:rPr>
              <w:t>8</w:t>
            </w:r>
            <w:r>
              <w:rPr>
                <w:noProof/>
                <w:webHidden/>
              </w:rPr>
              <w:fldChar w:fldCharType="end"/>
            </w:r>
          </w:hyperlink>
        </w:p>
        <w:p w14:paraId="46BEE39F" w14:textId="0528DA16"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8" w:history="1">
            <w:r w:rsidRPr="002C418A">
              <w:rPr>
                <w:rStyle w:val="Hyperlink"/>
                <w:noProof/>
              </w:rPr>
              <w:t>Appendix A – Definitions</w:t>
            </w:r>
            <w:r>
              <w:rPr>
                <w:noProof/>
                <w:webHidden/>
              </w:rPr>
              <w:tab/>
            </w:r>
            <w:r>
              <w:rPr>
                <w:noProof/>
                <w:webHidden/>
              </w:rPr>
              <w:fldChar w:fldCharType="begin"/>
            </w:r>
            <w:r>
              <w:rPr>
                <w:noProof/>
                <w:webHidden/>
              </w:rPr>
              <w:instrText xml:space="preserve"> PAGEREF _Toc67057538 \h </w:instrText>
            </w:r>
            <w:r>
              <w:rPr>
                <w:noProof/>
                <w:webHidden/>
              </w:rPr>
            </w:r>
            <w:r>
              <w:rPr>
                <w:noProof/>
                <w:webHidden/>
              </w:rPr>
              <w:fldChar w:fldCharType="separate"/>
            </w:r>
            <w:r>
              <w:rPr>
                <w:noProof/>
                <w:webHidden/>
              </w:rPr>
              <w:t>8</w:t>
            </w:r>
            <w:r>
              <w:rPr>
                <w:noProof/>
                <w:webHidden/>
              </w:rPr>
              <w:fldChar w:fldCharType="end"/>
            </w:r>
          </w:hyperlink>
        </w:p>
        <w:p w14:paraId="242F1BD6" w14:textId="0406F5AE"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39" w:history="1">
            <w:r w:rsidRPr="002C418A">
              <w:rPr>
                <w:rStyle w:val="Hyperlink"/>
                <w:noProof/>
              </w:rPr>
              <w:t>Appendix B – City of Port Phillip Map</w:t>
            </w:r>
            <w:r>
              <w:rPr>
                <w:noProof/>
                <w:webHidden/>
              </w:rPr>
              <w:tab/>
            </w:r>
            <w:r>
              <w:rPr>
                <w:noProof/>
                <w:webHidden/>
              </w:rPr>
              <w:fldChar w:fldCharType="begin"/>
            </w:r>
            <w:r>
              <w:rPr>
                <w:noProof/>
                <w:webHidden/>
              </w:rPr>
              <w:instrText xml:space="preserve"> PAGEREF _Toc67057539 \h </w:instrText>
            </w:r>
            <w:r>
              <w:rPr>
                <w:noProof/>
                <w:webHidden/>
              </w:rPr>
            </w:r>
            <w:r>
              <w:rPr>
                <w:noProof/>
                <w:webHidden/>
              </w:rPr>
              <w:fldChar w:fldCharType="separate"/>
            </w:r>
            <w:r>
              <w:rPr>
                <w:noProof/>
                <w:webHidden/>
              </w:rPr>
              <w:t>10</w:t>
            </w:r>
            <w:r>
              <w:rPr>
                <w:noProof/>
                <w:webHidden/>
              </w:rPr>
              <w:fldChar w:fldCharType="end"/>
            </w:r>
          </w:hyperlink>
        </w:p>
        <w:p w14:paraId="3E4BA8C0" w14:textId="2EC4E94E" w:rsidR="00E5753B" w:rsidRDefault="00E5753B">
          <w:pPr>
            <w:pStyle w:val="TOC3"/>
            <w:tabs>
              <w:tab w:val="right" w:leader="dot" w:pos="9628"/>
            </w:tabs>
            <w:rPr>
              <w:rFonts w:asciiTheme="minorHAnsi" w:eastAsiaTheme="minorEastAsia" w:hAnsiTheme="minorHAnsi" w:cstheme="minorBidi"/>
              <w:noProof/>
              <w:color w:val="auto"/>
              <w:lang w:eastAsia="en-AU"/>
            </w:rPr>
          </w:pPr>
          <w:hyperlink w:anchor="_Toc67057540" w:history="1">
            <w:r w:rsidRPr="002C418A">
              <w:rPr>
                <w:rStyle w:val="Hyperlink"/>
                <w:noProof/>
              </w:rPr>
              <w:t>Appendix C – Grant Terms and Conditions</w:t>
            </w:r>
            <w:r>
              <w:rPr>
                <w:noProof/>
                <w:webHidden/>
              </w:rPr>
              <w:tab/>
            </w:r>
            <w:r>
              <w:rPr>
                <w:noProof/>
                <w:webHidden/>
              </w:rPr>
              <w:fldChar w:fldCharType="begin"/>
            </w:r>
            <w:r>
              <w:rPr>
                <w:noProof/>
                <w:webHidden/>
              </w:rPr>
              <w:instrText xml:space="preserve"> PAGEREF _Toc67057540 \h </w:instrText>
            </w:r>
            <w:r>
              <w:rPr>
                <w:noProof/>
                <w:webHidden/>
              </w:rPr>
            </w:r>
            <w:r>
              <w:rPr>
                <w:noProof/>
                <w:webHidden/>
              </w:rPr>
              <w:fldChar w:fldCharType="separate"/>
            </w:r>
            <w:r>
              <w:rPr>
                <w:noProof/>
                <w:webHidden/>
              </w:rPr>
              <w:t>10</w:t>
            </w:r>
            <w:r>
              <w:rPr>
                <w:noProof/>
                <w:webHidden/>
              </w:rPr>
              <w:fldChar w:fldCharType="end"/>
            </w:r>
          </w:hyperlink>
        </w:p>
        <w:p w14:paraId="1DEC196B" w14:textId="77959694"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05FD659A" w14:textId="77777777" w:rsidR="003E4979" w:rsidRDefault="003E4979" w:rsidP="003E4979"/>
    <w:p w14:paraId="417B6A81" w14:textId="0D540CD0" w:rsidR="008F32FA" w:rsidRDefault="00BB4694" w:rsidP="002A38C8">
      <w:pPr>
        <w:pStyle w:val="Heading1"/>
      </w:pPr>
      <w:bookmarkStart w:id="3" w:name="_Toc67057521"/>
      <w:r>
        <w:t xml:space="preserve">City of Port Phillip COVID-19 Community </w:t>
      </w:r>
      <w:r w:rsidR="0014392C">
        <w:t xml:space="preserve">Recovery </w:t>
      </w:r>
      <w:r>
        <w:t>Quick Response Grant</w:t>
      </w:r>
      <w:r w:rsidR="00891AF6">
        <w:t xml:space="preserve"> Program </w:t>
      </w:r>
      <w:r>
        <w:t>Guidelines 2021</w:t>
      </w:r>
      <w:bookmarkEnd w:id="3"/>
    </w:p>
    <w:p w14:paraId="1181EF47" w14:textId="122370D1" w:rsidR="00032E27" w:rsidRDefault="00032E27" w:rsidP="00DF181C">
      <w:pPr>
        <w:pStyle w:val="Heading3"/>
      </w:pPr>
      <w:bookmarkStart w:id="4" w:name="_Toc67057522"/>
      <w:r>
        <w:t>Acknowledgment of country</w:t>
      </w:r>
      <w:bookmarkEnd w:id="4"/>
    </w:p>
    <w:p w14:paraId="7B15D9AE" w14:textId="104CE8B7" w:rsidR="00032E27" w:rsidRPr="00717A2A" w:rsidRDefault="00032E27" w:rsidP="007447CD">
      <w:r w:rsidRPr="00717A2A">
        <w:t>Council respectfully acknowledges the Yaluk-ut Weelam Clan of the Boon Wurrung. We pay our respect to their Elders, both past, present and emerging. We acknowledge and uphold their continuing relationship to this land</w:t>
      </w:r>
    </w:p>
    <w:p w14:paraId="6B89EF32" w14:textId="328FBE87" w:rsidR="00032E27" w:rsidRDefault="003E4979" w:rsidP="00DF181C">
      <w:pPr>
        <w:pStyle w:val="Heading3"/>
      </w:pPr>
      <w:bookmarkStart w:id="5" w:name="_Toc67057523"/>
      <w:r>
        <w:t xml:space="preserve">Introduction </w:t>
      </w:r>
      <w:r w:rsidR="00032E27">
        <w:t>to program</w:t>
      </w:r>
      <w:bookmarkEnd w:id="5"/>
    </w:p>
    <w:p w14:paraId="183AB9A2" w14:textId="77777777" w:rsidR="00BB4694" w:rsidRDefault="00BB4694" w:rsidP="00BB4694">
      <w:pPr>
        <w:pStyle w:val="BodyText"/>
      </w:pPr>
      <w:r>
        <w:t>The City of Port Phillip recognises that its Community Grants Program, Subsidy Schemes and Donations provide a strategic opportunity to work in partnership with community groups, organisations and individuals, to strengthen community capacity and create and promote a beautiful, liveable, caring, inviting, bold and real City of Port Philip.</w:t>
      </w:r>
    </w:p>
    <w:p w14:paraId="1FF04835" w14:textId="399AB8F7" w:rsidR="00BB4694" w:rsidRDefault="00BB4694" w:rsidP="00BB4694">
      <w:pPr>
        <w:pStyle w:val="BodyText"/>
      </w:pPr>
      <w:r>
        <w:t xml:space="preserve">The </w:t>
      </w:r>
      <w:r w:rsidRPr="00CA70CE">
        <w:t>COVID-</w:t>
      </w:r>
      <w:r>
        <w:t xml:space="preserve">19 </w:t>
      </w:r>
      <w:r w:rsidRPr="00E2513D">
        <w:t>Community</w:t>
      </w:r>
      <w:r w:rsidR="00E2513D" w:rsidRPr="00E2513D">
        <w:t xml:space="preserve"> Recover</w:t>
      </w:r>
      <w:r w:rsidR="00E03B32">
        <w:t>y</w:t>
      </w:r>
      <w:r w:rsidRPr="00E2513D">
        <w:t xml:space="preserve"> Quick Response Grants Program</w:t>
      </w:r>
      <w:r>
        <w:t xml:space="preserve"> is </w:t>
      </w:r>
      <w:r w:rsidRPr="00CA70CE">
        <w:t xml:space="preserve">an extension </w:t>
      </w:r>
      <w:r>
        <w:t xml:space="preserve">of Council’s Community Grants Program and </w:t>
      </w:r>
      <w:r w:rsidRPr="00CA70CE">
        <w:t>aligned with</w:t>
      </w:r>
      <w:r>
        <w:t xml:space="preserve"> </w:t>
      </w:r>
      <w:hyperlink r:id="rId11" w:history="1">
        <w:r w:rsidRPr="00D507BA">
          <w:rPr>
            <w:rStyle w:val="Hyperlink"/>
          </w:rPr>
          <w:t>Council’s Community Funding Policy</w:t>
        </w:r>
      </w:hyperlink>
      <w:r>
        <w:t>.</w:t>
      </w:r>
    </w:p>
    <w:p w14:paraId="600ED040" w14:textId="4945B1A6" w:rsidR="00BB4694" w:rsidRDefault="00BB4694" w:rsidP="00BB4694">
      <w:pPr>
        <w:pStyle w:val="NormalWeb"/>
        <w:shd w:val="clear" w:color="auto" w:fill="FDFDFD"/>
        <w:spacing w:before="0" w:beforeAutospacing="0" w:after="150" w:afterAutospacing="0"/>
        <w:rPr>
          <w:rFonts w:ascii="Arial" w:eastAsiaTheme="minorHAnsi" w:hAnsi="Arial" w:cs="Arial"/>
          <w:szCs w:val="22"/>
          <w:lang w:eastAsia="en-US"/>
        </w:rPr>
      </w:pPr>
      <w:r>
        <w:rPr>
          <w:rFonts w:ascii="Arial" w:eastAsiaTheme="minorHAnsi" w:hAnsi="Arial" w:cs="Arial"/>
          <w:szCs w:val="22"/>
          <w:lang w:eastAsia="en-US"/>
        </w:rPr>
        <w:t>This program provides a one-off funding opportunity t</w:t>
      </w:r>
      <w:r w:rsidRPr="00D72E17">
        <w:rPr>
          <w:rFonts w:ascii="Arial" w:eastAsiaTheme="minorHAnsi" w:hAnsi="Arial" w:cs="Arial"/>
          <w:szCs w:val="22"/>
          <w:lang w:eastAsia="en-US"/>
        </w:rPr>
        <w:t>o suppor</w:t>
      </w:r>
      <w:r>
        <w:rPr>
          <w:rFonts w:ascii="Arial" w:eastAsiaTheme="minorHAnsi" w:hAnsi="Arial" w:cs="Arial"/>
          <w:szCs w:val="22"/>
          <w:lang w:eastAsia="en-US"/>
        </w:rPr>
        <w:t xml:space="preserve">t service providers </w:t>
      </w:r>
      <w:r w:rsidR="00CF3399">
        <w:rPr>
          <w:rFonts w:ascii="Arial" w:eastAsiaTheme="minorHAnsi" w:hAnsi="Arial" w:cs="Arial"/>
          <w:szCs w:val="22"/>
          <w:lang w:eastAsia="en-US"/>
        </w:rPr>
        <w:t xml:space="preserve">and community groups </w:t>
      </w:r>
      <w:r>
        <w:rPr>
          <w:rFonts w:ascii="Arial" w:eastAsiaTheme="minorHAnsi" w:hAnsi="Arial" w:cs="Arial"/>
          <w:szCs w:val="22"/>
          <w:lang w:eastAsia="en-US"/>
        </w:rPr>
        <w:t>respond to:</w:t>
      </w:r>
    </w:p>
    <w:p w14:paraId="33580D87" w14:textId="70407E65" w:rsidR="00BB4694" w:rsidRDefault="00BB4694" w:rsidP="0044483A">
      <w:pPr>
        <w:pStyle w:val="ListParagraph"/>
      </w:pPr>
      <w:r>
        <w:t>community members, and in particular our most vulnerable</w:t>
      </w:r>
      <w:r w:rsidR="00F7180C">
        <w:t xml:space="preserve"> and socially disconnected</w:t>
      </w:r>
      <w:bookmarkStart w:id="6" w:name="_GoBack"/>
      <w:bookmarkEnd w:id="6"/>
      <w:r>
        <w:t xml:space="preserve"> residents, </w:t>
      </w:r>
      <w:r w:rsidRPr="00CA70CE">
        <w:t>who have been affected</w:t>
      </w:r>
      <w:r>
        <w:t xml:space="preserve"> by the COVID-19 pandemic </w:t>
      </w:r>
      <w:r w:rsidR="003F1591">
        <w:t xml:space="preserve">and their access to </w:t>
      </w:r>
      <w:r>
        <w:t>participate in community life.</w:t>
      </w:r>
    </w:p>
    <w:p w14:paraId="540BCB8F" w14:textId="77777777" w:rsidR="00BB4694" w:rsidRDefault="00BB4694" w:rsidP="0044483A">
      <w:pPr>
        <w:pStyle w:val="ListParagraph"/>
      </w:pPr>
      <w:r>
        <w:t>and address funding gaps that may have arisen from the change to annual Community Grants delivery timeframes.</w:t>
      </w:r>
      <w:bookmarkStart w:id="7" w:name="_bookmark1"/>
      <w:bookmarkEnd w:id="7"/>
    </w:p>
    <w:p w14:paraId="60E35ABF" w14:textId="46904A1D" w:rsidR="00B0260B" w:rsidRDefault="00032E27" w:rsidP="00B0260B">
      <w:pPr>
        <w:rPr>
          <w:rStyle w:val="Heading3Char"/>
        </w:rPr>
      </w:pPr>
      <w:bookmarkStart w:id="8" w:name="_Toc67057524"/>
      <w:r w:rsidRPr="00B0260B">
        <w:rPr>
          <w:rStyle w:val="Heading3Char"/>
        </w:rPr>
        <w:t>Program Objectives</w:t>
      </w:r>
      <w:bookmarkEnd w:id="8"/>
    </w:p>
    <w:p w14:paraId="64B56D21" w14:textId="1840C5BA" w:rsidR="00BB4694" w:rsidRDefault="00BB4694" w:rsidP="00BB4694">
      <w:pPr>
        <w:pStyle w:val="BodyText"/>
      </w:pPr>
      <w:r>
        <w:t>The City of Port Phil</w:t>
      </w:r>
      <w:r w:rsidRPr="002E2E8F">
        <w:t xml:space="preserve">lip </w:t>
      </w:r>
      <w:r w:rsidR="002E2E8F" w:rsidRPr="002E2E8F">
        <w:t>COVID-19 Community Recover</w:t>
      </w:r>
      <w:r w:rsidR="00870383">
        <w:t>y</w:t>
      </w:r>
      <w:r w:rsidR="002E2E8F" w:rsidRPr="002E2E8F">
        <w:t xml:space="preserve"> Quick Response Grants Program </w:t>
      </w:r>
      <w:r>
        <w:t>aims to:</w:t>
      </w:r>
    </w:p>
    <w:p w14:paraId="0036B4CB" w14:textId="304BFF9F" w:rsidR="00E33FE2" w:rsidRPr="00870383" w:rsidRDefault="002A2D6A" w:rsidP="00E33FE2">
      <w:pPr>
        <w:pStyle w:val="ListParagraph"/>
      </w:pPr>
      <w:r>
        <w:t>D</w:t>
      </w:r>
      <w:r w:rsidR="00E33FE2" w:rsidRPr="00870383">
        <w:t xml:space="preserve">irect support </w:t>
      </w:r>
      <w:r w:rsidR="00EC66ED" w:rsidRPr="00870383">
        <w:t>to</w:t>
      </w:r>
      <w:r>
        <w:t xml:space="preserve"> community groups </w:t>
      </w:r>
      <w:r w:rsidR="00347129">
        <w:t>that connect with</w:t>
      </w:r>
      <w:r w:rsidR="00E33FE2" w:rsidRPr="00870383">
        <w:t xml:space="preserve"> </w:t>
      </w:r>
      <w:r w:rsidR="00A65E65" w:rsidRPr="00870383">
        <w:t xml:space="preserve">vulnerable or socially disconnected </w:t>
      </w:r>
      <w:r w:rsidR="00347129">
        <w:t xml:space="preserve">residents </w:t>
      </w:r>
      <w:r w:rsidR="00E33FE2" w:rsidRPr="00870383">
        <w:t>who have been most impacted by COVID to facilitate their on-going recovery</w:t>
      </w:r>
      <w:r w:rsidR="00870383" w:rsidRPr="00870383">
        <w:t>.</w:t>
      </w:r>
    </w:p>
    <w:p w14:paraId="1F287E88" w14:textId="60D7FE41" w:rsidR="00BB4694" w:rsidRPr="00870383" w:rsidRDefault="00B73595" w:rsidP="0044483A">
      <w:pPr>
        <w:pStyle w:val="ListParagraph"/>
      </w:pPr>
      <w:r w:rsidRPr="00870383">
        <w:t>Enable</w:t>
      </w:r>
      <w:r w:rsidR="00BB4694" w:rsidRPr="00870383">
        <w:t xml:space="preserve"> service providers to </w:t>
      </w:r>
      <w:r w:rsidR="002070F5" w:rsidRPr="00870383">
        <w:t>promote or</w:t>
      </w:r>
      <w:r w:rsidR="00BB4694" w:rsidRPr="00870383">
        <w:t xml:space="preserve"> remove barriers </w:t>
      </w:r>
      <w:r w:rsidR="00AB1F9E" w:rsidRPr="00870383">
        <w:t>to</w:t>
      </w:r>
      <w:r w:rsidR="00BB4694" w:rsidRPr="00870383">
        <w:t xml:space="preserve"> participation for socially isolated and vulnerable community members.</w:t>
      </w:r>
    </w:p>
    <w:p w14:paraId="3D801BD3" w14:textId="78034819" w:rsidR="00BB4694" w:rsidRPr="00870383" w:rsidRDefault="00BB4694" w:rsidP="0044483A">
      <w:pPr>
        <w:pStyle w:val="ListParagraph"/>
      </w:pPr>
      <w:r w:rsidRPr="00870383">
        <w:t>Address funding gaps aris</w:t>
      </w:r>
      <w:r w:rsidR="002070F5" w:rsidRPr="00870383">
        <w:t>ing</w:t>
      </w:r>
      <w:r w:rsidRPr="00870383">
        <w:t xml:space="preserve"> from the change to Community Grants delivery timeframes</w:t>
      </w:r>
      <w:r w:rsidR="0070192B" w:rsidRPr="00870383">
        <w:t>, for</w:t>
      </w:r>
      <w:r w:rsidRPr="00870383">
        <w:t xml:space="preserve"> programs that have historically </w:t>
      </w:r>
      <w:r w:rsidR="003F1591" w:rsidRPr="00870383">
        <w:t>received</w:t>
      </w:r>
      <w:r w:rsidRPr="00870383">
        <w:t xml:space="preserve"> recurrent funding.</w:t>
      </w:r>
    </w:p>
    <w:p w14:paraId="3516A0DB" w14:textId="079A4980" w:rsidR="00453C26" w:rsidRDefault="00BB4694" w:rsidP="00BB4694">
      <w:pPr>
        <w:pStyle w:val="Heading3"/>
        <w:rPr>
          <w:rStyle w:val="Heading3Char"/>
        </w:rPr>
      </w:pPr>
      <w:bookmarkStart w:id="9" w:name="_Toc64367201"/>
      <w:bookmarkStart w:id="10" w:name="_Toc67057525"/>
      <w:r w:rsidRPr="00077CA9">
        <w:lastRenderedPageBreak/>
        <w:t xml:space="preserve">About </w:t>
      </w:r>
      <w:r>
        <w:t xml:space="preserve">COVID-19 Community </w:t>
      </w:r>
      <w:r w:rsidR="00870383">
        <w:t xml:space="preserve">Recovery </w:t>
      </w:r>
      <w:r w:rsidRPr="00077CA9">
        <w:t>Quick Response Grants</w:t>
      </w:r>
      <w:bookmarkEnd w:id="9"/>
      <w:r w:rsidR="003662C1">
        <w:t xml:space="preserve"> Program</w:t>
      </w:r>
      <w:bookmarkEnd w:id="10"/>
    </w:p>
    <w:p w14:paraId="23E97FC5" w14:textId="6EAD4FB2" w:rsidR="00BB4694" w:rsidRPr="0058370B" w:rsidRDefault="00BB4694" w:rsidP="0044483A">
      <w:pPr>
        <w:pStyle w:val="ListParagraph"/>
        <w:numPr>
          <w:ilvl w:val="0"/>
          <w:numId w:val="9"/>
        </w:numPr>
      </w:pPr>
      <w:r w:rsidRPr="0058370B">
        <w:t xml:space="preserve">Eligible applicants can submit </w:t>
      </w:r>
      <w:r w:rsidRPr="00C60303">
        <w:rPr>
          <w:u w:val="single"/>
        </w:rPr>
        <w:t>one</w:t>
      </w:r>
      <w:r w:rsidRPr="0058370B">
        <w:t xml:space="preserve"> application </w:t>
      </w:r>
      <w:r>
        <w:t xml:space="preserve">within the </w:t>
      </w:r>
      <w:r w:rsidR="003662C1">
        <w:t>COVID-19 Community Recovery Quick Response Grants Program</w:t>
      </w:r>
      <w:r>
        <w:t xml:space="preserve">. However, </w:t>
      </w:r>
      <w:r w:rsidRPr="0058370B">
        <w:t>an auspicing organisation is permitted to sponsor multiple org</w:t>
      </w:r>
      <w:r>
        <w:t>anisations.</w:t>
      </w:r>
      <w:r w:rsidRPr="0058370B">
        <w:t xml:space="preserve"> </w:t>
      </w:r>
    </w:p>
    <w:p w14:paraId="4FD765EF" w14:textId="77777777" w:rsidR="00BB4694" w:rsidRPr="002144AE" w:rsidRDefault="00BB4694" w:rsidP="0044483A">
      <w:pPr>
        <w:pStyle w:val="ListParagraph"/>
        <w:numPr>
          <w:ilvl w:val="0"/>
          <w:numId w:val="9"/>
        </w:numPr>
      </w:pPr>
      <w:r>
        <w:t>A tot</w:t>
      </w:r>
      <w:r w:rsidRPr="002144AE">
        <w:t xml:space="preserve">al </w:t>
      </w:r>
      <w:r>
        <w:t xml:space="preserve">funding </w:t>
      </w:r>
      <w:r w:rsidRPr="00D56F08">
        <w:t>budget of $</w:t>
      </w:r>
      <w:r>
        <w:t>17,900</w:t>
      </w:r>
      <w:r w:rsidRPr="00D56F08">
        <w:t xml:space="preserve"> is available</w:t>
      </w:r>
    </w:p>
    <w:p w14:paraId="156E529A" w14:textId="77777777" w:rsidR="00BB4694" w:rsidRDefault="00BB4694" w:rsidP="0044483A">
      <w:pPr>
        <w:pStyle w:val="ListParagraph"/>
        <w:numPr>
          <w:ilvl w:val="0"/>
          <w:numId w:val="9"/>
        </w:numPr>
      </w:pPr>
      <w:r w:rsidRPr="002144AE">
        <w:t xml:space="preserve">Maximum funding per application </w:t>
      </w:r>
      <w:r>
        <w:t>is $2,000.</w:t>
      </w:r>
    </w:p>
    <w:p w14:paraId="44638A14" w14:textId="6632AF0B" w:rsidR="00BB4694" w:rsidRPr="00D56F08" w:rsidRDefault="00BB4694" w:rsidP="0044483A">
      <w:pPr>
        <w:pStyle w:val="ListParagraph"/>
        <w:numPr>
          <w:ilvl w:val="0"/>
          <w:numId w:val="9"/>
        </w:numPr>
      </w:pPr>
      <w:r w:rsidRPr="00D56F08">
        <w:t xml:space="preserve">The </w:t>
      </w:r>
      <w:r w:rsidR="002E2E8F">
        <w:t xml:space="preserve">COVID-19 Community Recover Quick Response Grants Program </w:t>
      </w:r>
      <w:r w:rsidRPr="00D56F08">
        <w:t xml:space="preserve">will open </w:t>
      </w:r>
      <w:r w:rsidRPr="00E27650">
        <w:rPr>
          <w:b/>
          <w:bCs/>
        </w:rPr>
        <w:t xml:space="preserve">Monday </w:t>
      </w:r>
      <w:r w:rsidR="002618B7">
        <w:rPr>
          <w:b/>
          <w:bCs/>
        </w:rPr>
        <w:t>9</w:t>
      </w:r>
      <w:r w:rsidR="00CB6D4B">
        <w:rPr>
          <w:b/>
          <w:bCs/>
        </w:rPr>
        <w:t xml:space="preserve">am </w:t>
      </w:r>
      <w:r>
        <w:rPr>
          <w:b/>
          <w:bCs/>
        </w:rPr>
        <w:t>22</w:t>
      </w:r>
      <w:r w:rsidRPr="00E27650">
        <w:rPr>
          <w:b/>
          <w:bCs/>
        </w:rPr>
        <w:t xml:space="preserve"> </w:t>
      </w:r>
      <w:r>
        <w:rPr>
          <w:b/>
          <w:bCs/>
        </w:rPr>
        <w:t>March</w:t>
      </w:r>
      <w:r w:rsidRPr="00E27650">
        <w:rPr>
          <w:b/>
          <w:bCs/>
        </w:rPr>
        <w:t xml:space="preserve"> and close 4pm on </w:t>
      </w:r>
      <w:r>
        <w:rPr>
          <w:b/>
          <w:bCs/>
        </w:rPr>
        <w:t>Friday 23 April</w:t>
      </w:r>
      <w:r w:rsidRPr="00E27650">
        <w:rPr>
          <w:b/>
          <w:bCs/>
        </w:rPr>
        <w:t>.</w:t>
      </w:r>
    </w:p>
    <w:p w14:paraId="39B4FA95" w14:textId="77777777" w:rsidR="00BB4694" w:rsidRDefault="00BB4694" w:rsidP="0044483A">
      <w:pPr>
        <w:pStyle w:val="ListParagraph"/>
        <w:numPr>
          <w:ilvl w:val="0"/>
          <w:numId w:val="9"/>
        </w:numPr>
      </w:pPr>
      <w:r w:rsidRPr="002144AE">
        <w:t>The application and reporting processes have been streamlined to make it easy and quick for eligible organisations to access these funds</w:t>
      </w:r>
      <w:r>
        <w:t>.</w:t>
      </w:r>
    </w:p>
    <w:p w14:paraId="6EFDED62" w14:textId="77777777" w:rsidR="00BB4694" w:rsidRDefault="00BB4694" w:rsidP="0044483A">
      <w:pPr>
        <w:pStyle w:val="ListParagraph"/>
        <w:numPr>
          <w:ilvl w:val="0"/>
          <w:numId w:val="9"/>
        </w:numPr>
      </w:pPr>
      <w:r>
        <w:t>Applicants will be notified of the funding decision within four (4) weeks of this grant round closing.</w:t>
      </w:r>
    </w:p>
    <w:p w14:paraId="1B49147E" w14:textId="7C59B0B4" w:rsidR="00453C26" w:rsidRDefault="00453C26" w:rsidP="00B0260B">
      <w:pPr>
        <w:pStyle w:val="Heading3"/>
      </w:pPr>
      <w:bookmarkStart w:id="11" w:name="_Toc67057526"/>
      <w:r>
        <w:t>Eligibility</w:t>
      </w:r>
      <w:bookmarkEnd w:id="11"/>
    </w:p>
    <w:p w14:paraId="2D86EE7C" w14:textId="2507EEB5" w:rsidR="00BB4694" w:rsidRPr="001E4D5C" w:rsidRDefault="00BB4694" w:rsidP="0044483A">
      <w:bookmarkStart w:id="12" w:name="_Hlk44675539"/>
      <w:r w:rsidRPr="001E4D5C">
        <w:t xml:space="preserve">To be eligible for </w:t>
      </w:r>
      <w:r>
        <w:t>a COVID-19 Community</w:t>
      </w:r>
      <w:r w:rsidR="00A95964">
        <w:t xml:space="preserve"> Recovery</w:t>
      </w:r>
      <w:r>
        <w:t xml:space="preserve"> </w:t>
      </w:r>
      <w:r w:rsidRPr="001E4D5C">
        <w:t>Quick Response Grant</w:t>
      </w:r>
      <w:r w:rsidR="00A95964">
        <w:t xml:space="preserve"> Program</w:t>
      </w:r>
      <w:r w:rsidRPr="001E4D5C">
        <w:t xml:space="preserve"> </w:t>
      </w:r>
      <w:r>
        <w:t>the applicant</w:t>
      </w:r>
      <w:r w:rsidRPr="001E4D5C">
        <w:t xml:space="preserve"> must:</w:t>
      </w:r>
    </w:p>
    <w:p w14:paraId="2C77D0BB" w14:textId="30A89EAA" w:rsidR="00BB4694" w:rsidRPr="00AD2E32" w:rsidRDefault="00BB4694" w:rsidP="0044483A">
      <w:pPr>
        <w:pStyle w:val="ListParagraph"/>
        <w:numPr>
          <w:ilvl w:val="0"/>
          <w:numId w:val="9"/>
        </w:numPr>
        <w:rPr>
          <w:b/>
        </w:rPr>
      </w:pPr>
      <w:r>
        <w:t>Be</w:t>
      </w:r>
      <w:r w:rsidRPr="00133DE1">
        <w:t xml:space="preserve"> deemed to be non-profit as classified by the Australian Taxation Office (section 103</w:t>
      </w:r>
      <w:r w:rsidR="00D07E9D" w:rsidRPr="00133DE1">
        <w:t>A (</w:t>
      </w:r>
      <w:r w:rsidRPr="00133DE1">
        <w:t>2) (c) of the income Tax Assessment Act 1936</w:t>
      </w:r>
      <w:r>
        <w:t xml:space="preserve"> </w:t>
      </w:r>
      <w:r w:rsidRPr="00AD2E32">
        <w:rPr>
          <w:b/>
        </w:rPr>
        <w:t>or</w:t>
      </w:r>
    </w:p>
    <w:p w14:paraId="0B8F6CEE" w14:textId="77777777" w:rsidR="00BB4694" w:rsidRDefault="00BB4694" w:rsidP="0044483A">
      <w:pPr>
        <w:pStyle w:val="ListParagraph"/>
        <w:numPr>
          <w:ilvl w:val="0"/>
          <w:numId w:val="9"/>
        </w:numPr>
      </w:pPr>
      <w:r w:rsidRPr="00133DE1">
        <w:t>Be a ‘Not-for-Profit’ commun</w:t>
      </w:r>
      <w:r>
        <w:t>ity group, organisation or club</w:t>
      </w:r>
      <w:r w:rsidRPr="00133DE1">
        <w:t> that is incorporated under the Associations Incorporation Act</w:t>
      </w:r>
      <w:r>
        <w:t xml:space="preserve"> </w:t>
      </w:r>
      <w:r w:rsidRPr="00C448B2">
        <w:rPr>
          <w:b/>
        </w:rPr>
        <w:t>or</w:t>
      </w:r>
    </w:p>
    <w:p w14:paraId="18529585" w14:textId="77777777" w:rsidR="00BB4694" w:rsidRPr="00385FF3" w:rsidRDefault="00BB4694" w:rsidP="0044483A">
      <w:pPr>
        <w:pStyle w:val="ListParagraph"/>
        <w:numPr>
          <w:ilvl w:val="0"/>
          <w:numId w:val="9"/>
        </w:numPr>
      </w:pPr>
      <w:r>
        <w:t>S</w:t>
      </w:r>
      <w:r w:rsidRPr="00133DE1">
        <w:t>upported by an Auspice Incorporated As</w:t>
      </w:r>
      <w:r>
        <w:t xml:space="preserve">sociation that meets the same </w:t>
      </w:r>
      <w:r w:rsidRPr="00133DE1">
        <w:t>requirements</w:t>
      </w:r>
      <w:r>
        <w:rPr>
          <w:color w:val="000000"/>
          <w:sz w:val="20"/>
          <w:szCs w:val="20"/>
        </w:rPr>
        <w:t xml:space="preserve"> </w:t>
      </w:r>
      <w:hyperlink r:id="rId12" w:history="1">
        <w:r w:rsidRPr="00AD2E32">
          <w:rPr>
            <w:rStyle w:val="Hyperlink"/>
            <w:sz w:val="20"/>
            <w:szCs w:val="20"/>
          </w:rPr>
          <w:t>https://www.legislation.gov.au/Details/C2013C00040</w:t>
        </w:r>
      </w:hyperlink>
      <w:r>
        <w:rPr>
          <w:rStyle w:val="Hyperlink"/>
          <w:sz w:val="20"/>
          <w:szCs w:val="20"/>
        </w:rPr>
        <w:t>.</w:t>
      </w:r>
    </w:p>
    <w:bookmarkEnd w:id="12"/>
    <w:p w14:paraId="333EC57E" w14:textId="77777777" w:rsidR="00BB4694" w:rsidRDefault="00BB4694" w:rsidP="0044483A">
      <w:pPr>
        <w:pStyle w:val="ListParagraph"/>
        <w:numPr>
          <w:ilvl w:val="0"/>
          <w:numId w:val="9"/>
        </w:numPr>
      </w:pPr>
      <w:r w:rsidRPr="001E4D5C">
        <w:t>Provide an ABN or an Auspice Organisation ABN</w:t>
      </w:r>
      <w:r>
        <w:t>.</w:t>
      </w:r>
    </w:p>
    <w:p w14:paraId="0A2B32C4" w14:textId="77777777" w:rsidR="00BB4694" w:rsidRPr="001E4D5C" w:rsidRDefault="00BB4694" w:rsidP="0044483A">
      <w:pPr>
        <w:pStyle w:val="ListParagraph"/>
        <w:numPr>
          <w:ilvl w:val="0"/>
          <w:numId w:val="9"/>
        </w:numPr>
      </w:pPr>
      <w:r w:rsidRPr="001E4D5C">
        <w:t>Have their own Public Liability Insurance or an Auspice Organisation Public Liability Insurance</w:t>
      </w:r>
      <w:r>
        <w:t xml:space="preserve"> with a minimum of $20 Million.</w:t>
      </w:r>
    </w:p>
    <w:p w14:paraId="36474153" w14:textId="77777777" w:rsidR="00BB4694" w:rsidRPr="001E4D5C" w:rsidRDefault="00BB4694" w:rsidP="0044483A">
      <w:pPr>
        <w:pStyle w:val="ListParagraph"/>
        <w:numPr>
          <w:ilvl w:val="0"/>
          <w:numId w:val="9"/>
        </w:numPr>
      </w:pPr>
      <w:r w:rsidRPr="001E4D5C">
        <w:t>Have complied with all terms and conditions including the submission of a satisfactory acquittal report for all previ</w:t>
      </w:r>
      <w:r>
        <w:t>ous City of Port Phillip Grants.</w:t>
      </w:r>
    </w:p>
    <w:p w14:paraId="66A1E8DD" w14:textId="77777777" w:rsidR="00BB4694" w:rsidRDefault="00BB4694" w:rsidP="0044483A">
      <w:pPr>
        <w:pStyle w:val="ListParagraph"/>
        <w:numPr>
          <w:ilvl w:val="0"/>
          <w:numId w:val="9"/>
        </w:numPr>
      </w:pPr>
      <w:r>
        <w:t>B</w:t>
      </w:r>
      <w:r w:rsidRPr="001E4D5C">
        <w:t>e located within, or offer projects within, the Ci</w:t>
      </w:r>
      <w:r>
        <w:t>ty of Port Phillip municipality.</w:t>
      </w:r>
    </w:p>
    <w:p w14:paraId="6C6F4CB6" w14:textId="77777777" w:rsidR="00BB4694" w:rsidRDefault="00BB4694" w:rsidP="0044483A">
      <w:pPr>
        <w:pStyle w:val="ListParagraph"/>
        <w:numPr>
          <w:ilvl w:val="0"/>
          <w:numId w:val="9"/>
        </w:numPr>
      </w:pPr>
      <w:r>
        <w:t>Be able to</w:t>
      </w:r>
      <w:r w:rsidRPr="009374CF">
        <w:t xml:space="preserve"> </w:t>
      </w:r>
      <w:r>
        <w:t>demonstrate financial</w:t>
      </w:r>
      <w:r w:rsidRPr="009374CF">
        <w:t xml:space="preserve"> </w:t>
      </w:r>
      <w:r>
        <w:t>viability.</w:t>
      </w:r>
    </w:p>
    <w:p w14:paraId="41BA23CF" w14:textId="442DA262" w:rsidR="00453C26" w:rsidRDefault="00453C26" w:rsidP="00453C26">
      <w:pPr>
        <w:pStyle w:val="Heading3"/>
      </w:pPr>
      <w:bookmarkStart w:id="13" w:name="_Toc67057527"/>
      <w:r>
        <w:t>What can be funded?</w:t>
      </w:r>
      <w:bookmarkEnd w:id="13"/>
    </w:p>
    <w:p w14:paraId="715B3C26" w14:textId="77777777" w:rsidR="00BB4694" w:rsidRDefault="00BB4694" w:rsidP="00E03C67">
      <w:r w:rsidRPr="001E4D5C">
        <w:t>The following will be considered for funding, but is not an exhaustive list:</w:t>
      </w:r>
    </w:p>
    <w:p w14:paraId="541F6D5F" w14:textId="77777777" w:rsidR="00BB4694" w:rsidRPr="000D6361" w:rsidRDefault="00BB4694" w:rsidP="0044483A">
      <w:pPr>
        <w:pStyle w:val="ListParagraph"/>
      </w:pPr>
      <w:r w:rsidRPr="000D6361">
        <w:t>Building community resilience</w:t>
      </w:r>
      <w:r>
        <w:t xml:space="preserve"> </w:t>
      </w:r>
    </w:p>
    <w:p w14:paraId="54B3C12F" w14:textId="4113DE13" w:rsidR="00BB4694" w:rsidRPr="000D6361" w:rsidRDefault="00BB4694" w:rsidP="0044483A">
      <w:pPr>
        <w:pStyle w:val="ListParagraph"/>
      </w:pPr>
      <w:r w:rsidRPr="000D6361">
        <w:t>Bridging isolation and building connections (social support)</w:t>
      </w:r>
    </w:p>
    <w:p w14:paraId="0F070297" w14:textId="77777777" w:rsidR="00BB4694" w:rsidRPr="00934040" w:rsidRDefault="00BB4694" w:rsidP="0044483A">
      <w:pPr>
        <w:pStyle w:val="ListParagraph"/>
      </w:pPr>
      <w:r w:rsidRPr="000D6361">
        <w:t>Other emerging pandemic</w:t>
      </w:r>
      <w:r>
        <w:t xml:space="preserve"> recovery</w:t>
      </w:r>
      <w:r w:rsidRPr="000D6361">
        <w:t xml:space="preserve"> needs in line with funding priorities</w:t>
      </w:r>
    </w:p>
    <w:p w14:paraId="2EE4ECCC" w14:textId="59DC50C7" w:rsidR="00BB4694" w:rsidRPr="00B20D98" w:rsidRDefault="007A640F" w:rsidP="0044483A">
      <w:pPr>
        <w:pStyle w:val="ListParagraph"/>
      </w:pPr>
      <w:r w:rsidRPr="00B20D98">
        <w:t xml:space="preserve">Continuity of </w:t>
      </w:r>
      <w:r w:rsidR="0046605B" w:rsidRPr="00B20D98">
        <w:t>p</w:t>
      </w:r>
      <w:r w:rsidR="00BB4694" w:rsidRPr="00B20D98">
        <w:t>reviously recurrent Community Grant programs</w:t>
      </w:r>
      <w:r w:rsidR="0046605B" w:rsidRPr="00B20D98">
        <w:t xml:space="preserve"> (gap funding due to change </w:t>
      </w:r>
      <w:r w:rsidR="008A1F85" w:rsidRPr="00B20D98">
        <w:t xml:space="preserve">in </w:t>
      </w:r>
      <w:r w:rsidR="0046605B" w:rsidRPr="00B20D98">
        <w:t>community grant</w:t>
      </w:r>
      <w:r w:rsidR="009D49A6" w:rsidRPr="00B20D98">
        <w:t xml:space="preserve"> program</w:t>
      </w:r>
      <w:r w:rsidR="008A1F85" w:rsidRPr="00B20D98">
        <w:t>s base on</w:t>
      </w:r>
      <w:r w:rsidR="009D49A6" w:rsidRPr="00B20D98">
        <w:t xml:space="preserve"> calendar year</w:t>
      </w:r>
      <w:r w:rsidR="0046605B" w:rsidRPr="00B20D98">
        <w:t>)</w:t>
      </w:r>
      <w:r w:rsidR="006F5427" w:rsidRPr="00B20D98">
        <w:t>.</w:t>
      </w:r>
    </w:p>
    <w:p w14:paraId="5A78B8FB" w14:textId="18E2E236" w:rsidR="00453C26" w:rsidRDefault="00453C26" w:rsidP="00453C26">
      <w:pPr>
        <w:pStyle w:val="Heading3"/>
      </w:pPr>
      <w:bookmarkStart w:id="14" w:name="_Toc67057528"/>
      <w:r>
        <w:lastRenderedPageBreak/>
        <w:t>What can’t be funded (exclusions)?</w:t>
      </w:r>
      <w:bookmarkEnd w:id="14"/>
    </w:p>
    <w:p w14:paraId="7999F30C" w14:textId="77777777" w:rsidR="00BB4694" w:rsidRPr="00963B0D" w:rsidRDefault="00BB4694" w:rsidP="00E03C67">
      <w:r w:rsidRPr="00963B0D">
        <w:t>The following are not eligible for funding in this grant round: </w:t>
      </w:r>
    </w:p>
    <w:p w14:paraId="220E1729" w14:textId="77777777" w:rsidR="00BB4694" w:rsidRPr="001E4D5C" w:rsidRDefault="00BB4694" w:rsidP="0044483A">
      <w:pPr>
        <w:pStyle w:val="ListParagraph"/>
        <w:numPr>
          <w:ilvl w:val="0"/>
          <w:numId w:val="11"/>
        </w:numPr>
      </w:pPr>
      <w:r w:rsidRPr="001E4D5C">
        <w:t>Items that are part of an organisation’s core business or normal operating expenses e.g. insurances (such as public liability), utilities, rental of business premises etc.</w:t>
      </w:r>
    </w:p>
    <w:p w14:paraId="119B46DB" w14:textId="4271B61D" w:rsidR="00BB4694" w:rsidRPr="001E4D5C" w:rsidRDefault="00F0547F" w:rsidP="0044483A">
      <w:pPr>
        <w:pStyle w:val="ListParagraph"/>
        <w:numPr>
          <w:ilvl w:val="0"/>
          <w:numId w:val="11"/>
        </w:numPr>
      </w:pPr>
      <w:r w:rsidRPr="001E4D5C">
        <w:t>State-wide</w:t>
      </w:r>
      <w:r w:rsidR="00BB4694" w:rsidRPr="001E4D5C">
        <w:t xml:space="preserve"> projects</w:t>
      </w:r>
      <w:r w:rsidR="00BB4694">
        <w:t>.</w:t>
      </w:r>
    </w:p>
    <w:p w14:paraId="0CF9F390" w14:textId="77777777" w:rsidR="00BB4694" w:rsidRPr="001E4D5C" w:rsidRDefault="00BB4694" w:rsidP="0044483A">
      <w:pPr>
        <w:pStyle w:val="ListParagraph"/>
        <w:numPr>
          <w:ilvl w:val="0"/>
          <w:numId w:val="11"/>
        </w:numPr>
      </w:pPr>
      <w:r w:rsidRPr="001E4D5C">
        <w:t xml:space="preserve">Projects that do not align with Council’s </w:t>
      </w:r>
      <w:r>
        <w:t xml:space="preserve">priority outcomes </w:t>
      </w:r>
      <w:r w:rsidRPr="001E4D5C">
        <w:t>as identified in the Council Plan 2017-27.</w:t>
      </w:r>
    </w:p>
    <w:p w14:paraId="6C019109" w14:textId="77777777" w:rsidR="00BB4694" w:rsidRPr="001E4D5C" w:rsidRDefault="00BB4694" w:rsidP="0044483A">
      <w:pPr>
        <w:pStyle w:val="ListParagraph"/>
        <w:numPr>
          <w:ilvl w:val="0"/>
          <w:numId w:val="11"/>
        </w:numPr>
      </w:pPr>
      <w:r w:rsidRPr="001E4D5C">
        <w:t>Projects that are the funding responsibility of other levels of government</w:t>
      </w:r>
      <w:r>
        <w:t>.</w:t>
      </w:r>
    </w:p>
    <w:p w14:paraId="1325E92E" w14:textId="77777777" w:rsidR="00BB4694" w:rsidRPr="001E4D5C" w:rsidRDefault="00BB4694" w:rsidP="0044483A">
      <w:pPr>
        <w:pStyle w:val="ListParagraph"/>
        <w:numPr>
          <w:ilvl w:val="0"/>
          <w:numId w:val="11"/>
        </w:numPr>
      </w:pPr>
      <w:r w:rsidRPr="001E4D5C">
        <w:t>Projects that have already started or have been completed</w:t>
      </w:r>
      <w:r>
        <w:t>.</w:t>
      </w:r>
    </w:p>
    <w:p w14:paraId="306F3432" w14:textId="77777777" w:rsidR="00BB4694" w:rsidRDefault="00BB4694" w:rsidP="0044483A">
      <w:pPr>
        <w:pStyle w:val="ListParagraph"/>
        <w:numPr>
          <w:ilvl w:val="0"/>
          <w:numId w:val="11"/>
        </w:numPr>
      </w:pPr>
      <w:r w:rsidRPr="001E4D5C">
        <w:t>Private profit-making organisations</w:t>
      </w:r>
      <w:bookmarkStart w:id="15" w:name="_bookmark2"/>
      <w:bookmarkEnd w:id="15"/>
      <w:r>
        <w:t>.</w:t>
      </w:r>
    </w:p>
    <w:p w14:paraId="6E7BB7DA" w14:textId="1B602687" w:rsidR="00453C26" w:rsidRDefault="00453C26" w:rsidP="00BB4694">
      <w:pPr>
        <w:pStyle w:val="Heading3"/>
      </w:pPr>
      <w:bookmarkStart w:id="16" w:name="_Toc67057529"/>
      <w:r w:rsidRPr="00BB4694">
        <w:t>Assessment</w:t>
      </w:r>
      <w:r>
        <w:t xml:space="preserve"> Process</w:t>
      </w:r>
      <w:bookmarkEnd w:id="16"/>
    </w:p>
    <w:p w14:paraId="15C63ACA" w14:textId="77777777" w:rsidR="00BB4694" w:rsidRDefault="00BB4694" w:rsidP="00BB4694">
      <w:pPr>
        <w:widowControl w:val="0"/>
        <w:tabs>
          <w:tab w:val="left" w:pos="1054"/>
        </w:tabs>
        <w:kinsoku w:val="0"/>
        <w:overflowPunct w:val="0"/>
        <w:autoSpaceDE w:val="0"/>
        <w:autoSpaceDN w:val="0"/>
        <w:adjustRightInd w:val="0"/>
        <w:spacing w:before="119" w:after="0" w:line="237" w:lineRule="auto"/>
        <w:ind w:right="1304"/>
      </w:pPr>
      <w:r w:rsidRPr="007616C0">
        <w:t>We ensure our grant processes are transparent and fair</w:t>
      </w:r>
      <w:r>
        <w:t>.</w:t>
      </w:r>
    </w:p>
    <w:p w14:paraId="70CA1D37" w14:textId="77777777" w:rsidR="00BB4694" w:rsidRDefault="00BB4694" w:rsidP="0044483A">
      <w:pPr>
        <w:pStyle w:val="ListParagraph"/>
        <w:numPr>
          <w:ilvl w:val="0"/>
          <w:numId w:val="11"/>
        </w:numPr>
      </w:pPr>
      <w:r>
        <w:t xml:space="preserve">All applications submitted undergo an </w:t>
      </w:r>
      <w:r w:rsidRPr="00600CE5">
        <w:t xml:space="preserve">eligibility check. Applications that do not meet eligibility criteria will not proceed </w:t>
      </w:r>
      <w:r>
        <w:t>for further assessment and applicants notified by email.</w:t>
      </w:r>
    </w:p>
    <w:p w14:paraId="14CFABE9" w14:textId="77777777" w:rsidR="00BB4694" w:rsidRPr="00763873" w:rsidRDefault="00BB4694" w:rsidP="0044483A">
      <w:pPr>
        <w:pStyle w:val="ListParagraph"/>
        <w:numPr>
          <w:ilvl w:val="0"/>
          <w:numId w:val="11"/>
        </w:numPr>
      </w:pPr>
      <w:r>
        <w:t>Throughout each stage of the assessment process any</w:t>
      </w:r>
      <w:r w:rsidRPr="007616C0">
        <w:t xml:space="preserve"> conflicts of interests are declared</w:t>
      </w:r>
      <w:r>
        <w:t xml:space="preserve"> and addressed. </w:t>
      </w:r>
    </w:p>
    <w:p w14:paraId="7E02D6E4" w14:textId="77777777" w:rsidR="00BB4694" w:rsidRDefault="00BB4694" w:rsidP="0044483A">
      <w:pPr>
        <w:pStyle w:val="ListParagraph"/>
        <w:numPr>
          <w:ilvl w:val="0"/>
          <w:numId w:val="11"/>
        </w:numPr>
      </w:pPr>
      <w:r>
        <w:t>An assessment panel will assess each eligible application</w:t>
      </w:r>
      <w:r w:rsidRPr="007616C0">
        <w:t xml:space="preserve"> objectively against the assessment criteria</w:t>
      </w:r>
      <w:r>
        <w:t xml:space="preserve"> listed in these guidelines. </w:t>
      </w:r>
    </w:p>
    <w:p w14:paraId="4DFAF372" w14:textId="77777777" w:rsidR="00BB4694" w:rsidRPr="00763873" w:rsidRDefault="00BB4694" w:rsidP="0044483A">
      <w:pPr>
        <w:pStyle w:val="ListParagraph"/>
        <w:numPr>
          <w:ilvl w:val="0"/>
          <w:numId w:val="11"/>
        </w:numPr>
      </w:pPr>
      <w:r>
        <w:t xml:space="preserve">All </w:t>
      </w:r>
      <w:r w:rsidRPr="00763873">
        <w:t xml:space="preserve">applicants are notified </w:t>
      </w:r>
      <w:r>
        <w:t>by email of the application outcome.</w:t>
      </w:r>
    </w:p>
    <w:p w14:paraId="413E9FE6" w14:textId="69CBD4AF" w:rsidR="00453C26" w:rsidRPr="00E03C67" w:rsidRDefault="00453C26" w:rsidP="00E03C67">
      <w:pPr>
        <w:pStyle w:val="Heading3"/>
      </w:pPr>
      <w:bookmarkStart w:id="17" w:name="_Toc67057530"/>
      <w:r w:rsidRPr="00E03C67">
        <w:t>Assessment Criteria</w:t>
      </w:r>
      <w:bookmarkEnd w:id="17"/>
    </w:p>
    <w:p w14:paraId="2318BE04" w14:textId="025B6E3C" w:rsidR="00BB4694" w:rsidRDefault="00BB4694" w:rsidP="00E03C67">
      <w:r>
        <w:t xml:space="preserve">The COVID-19 Community </w:t>
      </w:r>
      <w:r w:rsidR="00B20D98">
        <w:t xml:space="preserve">Recovery </w:t>
      </w:r>
      <w:r>
        <w:t>Quick Response</w:t>
      </w:r>
      <w:r w:rsidR="00B20D98">
        <w:t xml:space="preserve"> </w:t>
      </w:r>
      <w:r>
        <w:t>Assessment Panel will assess each eligible application</w:t>
      </w:r>
      <w:r w:rsidRPr="007616C0">
        <w:t xml:space="preserve"> objectively against the </w:t>
      </w:r>
      <w:r>
        <w:t xml:space="preserve">following </w:t>
      </w:r>
      <w:r w:rsidRPr="007616C0">
        <w:t>assessment criteria</w:t>
      </w:r>
      <w:r>
        <w:t>:</w:t>
      </w:r>
    </w:p>
    <w:p w14:paraId="073E6BA9" w14:textId="77777777" w:rsidR="00BB4694" w:rsidRDefault="00BB4694" w:rsidP="00BB4694">
      <w:pPr>
        <w:pStyle w:val="Heading4"/>
      </w:pPr>
      <w:bookmarkStart w:id="18" w:name="_Hlk44573395"/>
      <w:r>
        <w:t>Community Need (weighting 40 per cent)</w:t>
      </w:r>
    </w:p>
    <w:p w14:paraId="00B4DB76" w14:textId="77777777" w:rsidR="00BB4694" w:rsidRDefault="00BB4694" w:rsidP="0044483A">
      <w:pPr>
        <w:pStyle w:val="ListParagraph"/>
        <w:numPr>
          <w:ilvl w:val="0"/>
          <w:numId w:val="12"/>
        </w:numPr>
      </w:pPr>
      <w:r w:rsidRPr="007F7C58">
        <w:t>Has a need for the program been clearly demonstrated?</w:t>
      </w:r>
    </w:p>
    <w:p w14:paraId="3553DFA9" w14:textId="77777777" w:rsidR="00BB4694" w:rsidRDefault="00BB4694" w:rsidP="0044483A">
      <w:pPr>
        <w:pStyle w:val="ListParagraph"/>
        <w:numPr>
          <w:ilvl w:val="0"/>
          <w:numId w:val="12"/>
        </w:numPr>
      </w:pPr>
      <w:r w:rsidRPr="007F7C58">
        <w:t>How effectively will the program meet this need?</w:t>
      </w:r>
    </w:p>
    <w:p w14:paraId="6DB82D29" w14:textId="77777777" w:rsidR="00BB4694" w:rsidRPr="007F7C58" w:rsidRDefault="00BB4694" w:rsidP="0044483A">
      <w:pPr>
        <w:pStyle w:val="ListParagraph"/>
        <w:numPr>
          <w:ilvl w:val="0"/>
          <w:numId w:val="12"/>
        </w:numPr>
      </w:pPr>
      <w:r>
        <w:t>Has a need for gap funding clearly been demonstrated?</w:t>
      </w:r>
    </w:p>
    <w:p w14:paraId="4DA97046" w14:textId="77777777" w:rsidR="00BB4694" w:rsidRPr="004B1541" w:rsidRDefault="00BB4694" w:rsidP="00BB4694">
      <w:pPr>
        <w:pStyle w:val="Heading4"/>
      </w:pPr>
      <w:r>
        <w:t>Benefit to Target Groups (weighting 30 per cent)</w:t>
      </w:r>
    </w:p>
    <w:p w14:paraId="7844FEB9" w14:textId="77777777" w:rsidR="00BB4694" w:rsidRDefault="00BB4694" w:rsidP="0044483A">
      <w:pPr>
        <w:pStyle w:val="ListParagraph"/>
        <w:numPr>
          <w:ilvl w:val="0"/>
          <w:numId w:val="13"/>
        </w:numPr>
      </w:pPr>
      <w:r w:rsidRPr="007F7C58">
        <w:t>Who are the participants?</w:t>
      </w:r>
      <w:r>
        <w:t xml:space="preserve">  </w:t>
      </w:r>
      <w:r w:rsidRPr="009374CF">
        <w:t xml:space="preserve">Projects that can show evidence of servicing the most vulnerable experiencing </w:t>
      </w:r>
      <w:r>
        <w:t xml:space="preserve">greatest </w:t>
      </w:r>
      <w:r w:rsidRPr="009374CF">
        <w:t>disadvantage or impact from COVID-19 will be considered a priority</w:t>
      </w:r>
      <w:r>
        <w:t>.</w:t>
      </w:r>
    </w:p>
    <w:p w14:paraId="09ED027C" w14:textId="15C274D4" w:rsidR="00BB4694" w:rsidRDefault="00BB4694" w:rsidP="0044483A">
      <w:pPr>
        <w:pStyle w:val="ListParagraph"/>
        <w:numPr>
          <w:ilvl w:val="0"/>
          <w:numId w:val="13"/>
        </w:numPr>
      </w:pPr>
      <w:r>
        <w:t xml:space="preserve">How will the target group be </w:t>
      </w:r>
      <w:r w:rsidR="00D07E9D">
        <w:t>negatively</w:t>
      </w:r>
      <w:r>
        <w:t xml:space="preserve"> impacted if the recurrent program does not receive gap funding?</w:t>
      </w:r>
    </w:p>
    <w:p w14:paraId="64850B83" w14:textId="77777777" w:rsidR="00BB4694" w:rsidRDefault="00BB4694" w:rsidP="0044483A">
      <w:pPr>
        <w:pStyle w:val="ListParagraph"/>
        <w:numPr>
          <w:ilvl w:val="0"/>
          <w:numId w:val="13"/>
        </w:numPr>
      </w:pPr>
      <w:r w:rsidRPr="009374CF">
        <w:t xml:space="preserve">What benefits will the program deliver </w:t>
      </w:r>
      <w:r>
        <w:t>to</w:t>
      </w:r>
      <w:r w:rsidRPr="009374CF">
        <w:t xml:space="preserve"> the </w:t>
      </w:r>
      <w:r w:rsidRPr="00C448B2">
        <w:t>target group/s</w:t>
      </w:r>
    </w:p>
    <w:p w14:paraId="5F1790D5" w14:textId="77777777" w:rsidR="00BB4694" w:rsidRDefault="00BB4694" w:rsidP="00BB4694">
      <w:pPr>
        <w:pStyle w:val="Heading4"/>
      </w:pPr>
      <w:r>
        <w:lastRenderedPageBreak/>
        <w:t>Planning &amp; Management (weighting 30 per cent)</w:t>
      </w:r>
    </w:p>
    <w:p w14:paraId="261C18F7" w14:textId="77777777" w:rsidR="00BB4694" w:rsidRDefault="00BB4694" w:rsidP="0044483A">
      <w:pPr>
        <w:pStyle w:val="ListParagraph"/>
        <w:numPr>
          <w:ilvl w:val="0"/>
          <w:numId w:val="13"/>
        </w:numPr>
      </w:pPr>
      <w:r>
        <w:t>Does the organisation have the necessary resources and experience to successfully manage the</w:t>
      </w:r>
      <w:r w:rsidRPr="007F7C58">
        <w:t xml:space="preserve"> </w:t>
      </w:r>
      <w:r>
        <w:t>program?</w:t>
      </w:r>
    </w:p>
    <w:p w14:paraId="1EF6908D" w14:textId="77777777" w:rsidR="00BB4694" w:rsidRDefault="00BB4694" w:rsidP="0044483A">
      <w:pPr>
        <w:pStyle w:val="ListParagraph"/>
        <w:numPr>
          <w:ilvl w:val="0"/>
          <w:numId w:val="13"/>
        </w:numPr>
      </w:pPr>
      <w:r>
        <w:t>Does the budget reflect value for money?</w:t>
      </w:r>
    </w:p>
    <w:p w14:paraId="74143C5F" w14:textId="77777777" w:rsidR="00BB4694" w:rsidRDefault="00BB4694" w:rsidP="0044483A">
      <w:pPr>
        <w:pStyle w:val="ListParagraph"/>
        <w:numPr>
          <w:ilvl w:val="0"/>
          <w:numId w:val="13"/>
        </w:numPr>
      </w:pPr>
      <w:r>
        <w:t>Is there evidence of in-kind</w:t>
      </w:r>
      <w:r w:rsidRPr="007F7C58">
        <w:t xml:space="preserve"> </w:t>
      </w:r>
      <w:r>
        <w:t>contribution?</w:t>
      </w:r>
    </w:p>
    <w:p w14:paraId="475D0FD5" w14:textId="5C85E12B" w:rsidR="00BB4694" w:rsidRDefault="00BB4694" w:rsidP="0044483A">
      <w:pPr>
        <w:pStyle w:val="ListParagraph"/>
        <w:numPr>
          <w:ilvl w:val="0"/>
          <w:numId w:val="13"/>
        </w:numPr>
      </w:pPr>
      <w:r>
        <w:t>Have e</w:t>
      </w:r>
      <w:r w:rsidRPr="00AD2E32">
        <w:t>conomic and enviro</w:t>
      </w:r>
      <w:r>
        <w:t>n</w:t>
      </w:r>
      <w:r w:rsidRPr="00AD2E32">
        <w:t xml:space="preserve">mental sustainability initiatives </w:t>
      </w:r>
      <w:r>
        <w:t>been considered in the</w:t>
      </w:r>
      <w:r w:rsidRPr="00AD2E32">
        <w:t xml:space="preserve"> project design and implementation</w:t>
      </w:r>
      <w:r>
        <w:t>?</w:t>
      </w:r>
      <w:bookmarkEnd w:id="18"/>
    </w:p>
    <w:p w14:paraId="4ED05A8E" w14:textId="660627D2" w:rsidR="00453C26" w:rsidRDefault="00453C26" w:rsidP="00427E07">
      <w:pPr>
        <w:pStyle w:val="Heading3"/>
      </w:pPr>
      <w:bookmarkStart w:id="19" w:name="_Toc67057531"/>
      <w:r>
        <w:t>Support Documentation Required</w:t>
      </w:r>
      <w:bookmarkEnd w:id="19"/>
    </w:p>
    <w:p w14:paraId="271032ED" w14:textId="77777777" w:rsidR="00663BDC" w:rsidRPr="00E435D5" w:rsidRDefault="00663BDC" w:rsidP="00663BDC">
      <w:pPr>
        <w:pStyle w:val="Heading4"/>
      </w:pPr>
      <w:bookmarkStart w:id="20" w:name="_Toc67057532"/>
      <w:bookmarkStart w:id="21" w:name="_Toc30072335"/>
      <w:bookmarkStart w:id="22" w:name="_Toc30506413"/>
      <w:r w:rsidRPr="00E435D5">
        <w:t>Incorporation</w:t>
      </w:r>
      <w:bookmarkEnd w:id="21"/>
      <w:bookmarkEnd w:id="22"/>
    </w:p>
    <w:p w14:paraId="337E7EA6" w14:textId="77777777" w:rsidR="00663BDC" w:rsidRPr="00C14925" w:rsidRDefault="00663BDC" w:rsidP="00663BDC">
      <w:pPr>
        <w:pStyle w:val="BodyText"/>
      </w:pPr>
      <w:r w:rsidRPr="00C14925">
        <w:t>Applicants must be incorporated or hold another legal entity status. Incorporation is the most common way to provide a community group status as a legal entity.</w:t>
      </w:r>
    </w:p>
    <w:p w14:paraId="16CD63E6" w14:textId="77777777" w:rsidR="00663BDC" w:rsidRPr="00C14925" w:rsidRDefault="00663BDC" w:rsidP="00663BDC">
      <w:pPr>
        <w:pStyle w:val="BodyText"/>
      </w:pPr>
      <w:r w:rsidRPr="00C14925">
        <w:t>If you are not incorporated and would like to become incorporated, you may contact the Office of Consumer Affairs Victoria on 1300 558 181 or visit</w:t>
      </w:r>
      <w:r>
        <w:t xml:space="preserve"> the </w:t>
      </w:r>
      <w:hyperlink r:id="rId13" w:history="1">
        <w:r w:rsidRPr="00E31E70">
          <w:rPr>
            <w:rStyle w:val="Hyperlink"/>
            <w:sz w:val="20"/>
          </w:rPr>
          <w:t>webpage</w:t>
        </w:r>
      </w:hyperlink>
      <w:r>
        <w:t xml:space="preserve"> for more information</w:t>
      </w:r>
      <w:r w:rsidRPr="00C14925">
        <w:t xml:space="preserve"> </w:t>
      </w:r>
      <w:r>
        <w:t>(</w:t>
      </w:r>
      <w:hyperlink r:id="rId14" w:history="1">
        <w:r w:rsidRPr="00C14925">
          <w:rPr>
            <w:rStyle w:val="Hyperlink"/>
            <w:sz w:val="20"/>
          </w:rPr>
          <w:t>https://www.consumer.vic.gov.au/</w:t>
        </w:r>
      </w:hyperlink>
      <w:r>
        <w:rPr>
          <w:rStyle w:val="Hyperlink"/>
          <w:sz w:val="20"/>
        </w:rPr>
        <w:t>).</w:t>
      </w:r>
    </w:p>
    <w:p w14:paraId="607E2DDE" w14:textId="77777777" w:rsidR="00663BDC" w:rsidRPr="00C14925" w:rsidRDefault="00663BDC" w:rsidP="00663BDC">
      <w:pPr>
        <w:pStyle w:val="BodyText"/>
      </w:pPr>
      <w:r w:rsidRPr="00C14925">
        <w:t>If your group is not incorporated and does not wish or is unable to become incorporated, you may apply through an auspice organisation.</w:t>
      </w:r>
    </w:p>
    <w:p w14:paraId="63B28A25" w14:textId="5D3A9B11" w:rsidR="00663BDC" w:rsidRPr="00E435D5" w:rsidRDefault="00663BDC" w:rsidP="00D46AC6">
      <w:pPr>
        <w:pStyle w:val="Heading4"/>
      </w:pPr>
      <w:bookmarkStart w:id="23" w:name="_Toc30072336"/>
      <w:bookmarkStart w:id="24" w:name="_Toc30506414"/>
      <w:r w:rsidRPr="00E435D5">
        <w:t>Auspice organisation</w:t>
      </w:r>
      <w:bookmarkEnd w:id="23"/>
      <w:bookmarkEnd w:id="24"/>
      <w:r w:rsidR="0021745B">
        <w:t xml:space="preserve"> agreement letter</w:t>
      </w:r>
    </w:p>
    <w:p w14:paraId="461D3ED4" w14:textId="54816B88" w:rsidR="0021745B" w:rsidRDefault="00D46AC6" w:rsidP="00663BDC">
      <w:pPr>
        <w:pStyle w:val="BodyText"/>
      </w:pPr>
      <w:r>
        <w:t>If your application require</w:t>
      </w:r>
      <w:r w:rsidR="0021745B">
        <w:t>s</w:t>
      </w:r>
      <w:r>
        <w:t xml:space="preserve"> an auspice organisation you must submit a letter confirming from the auspice organisation confirming the </w:t>
      </w:r>
      <w:r w:rsidR="0021745B">
        <w:t>agreement.</w:t>
      </w:r>
    </w:p>
    <w:p w14:paraId="6032BF83" w14:textId="77777777" w:rsidR="00663BDC" w:rsidRPr="00E435D5" w:rsidRDefault="00663BDC" w:rsidP="00B45B27">
      <w:pPr>
        <w:pStyle w:val="Heading4"/>
      </w:pPr>
      <w:bookmarkStart w:id="25" w:name="_Toc30072337"/>
      <w:bookmarkStart w:id="26" w:name="_Toc30506415"/>
      <w:r w:rsidRPr="00E435D5">
        <w:t>Public and Products Liability Insurance</w:t>
      </w:r>
      <w:bookmarkEnd w:id="25"/>
      <w:bookmarkEnd w:id="26"/>
    </w:p>
    <w:p w14:paraId="15E9E5B3" w14:textId="5CD13ECF" w:rsidR="00663BDC" w:rsidRPr="00C14925" w:rsidRDefault="00663BDC" w:rsidP="00663BDC">
      <w:pPr>
        <w:pStyle w:val="BodyText"/>
      </w:pPr>
      <w:r w:rsidRPr="00C14925">
        <w:t>City of Port Phillip requires applicants to hold current Public and Products Liability Insurance to protect themselves against legal liability for third party’s injury, death and/or damage to property caused by an occurrence in connection with the applicant’s activities. This is proven by providing a valid Certificate of Currency for Public Liability Insurance</w:t>
      </w:r>
      <w:r w:rsidR="00B45B27">
        <w:t xml:space="preserve"> for 20 million</w:t>
      </w:r>
      <w:r w:rsidRPr="00C14925">
        <w:t>.</w:t>
      </w:r>
    </w:p>
    <w:p w14:paraId="64F0155D" w14:textId="60854DCA" w:rsidR="00427E07" w:rsidRDefault="00427E07" w:rsidP="00427E07">
      <w:pPr>
        <w:pStyle w:val="Heading3"/>
      </w:pPr>
      <w:r>
        <w:t>Support Provided by Council</w:t>
      </w:r>
      <w:bookmarkEnd w:id="20"/>
    </w:p>
    <w:tbl>
      <w:tblPr>
        <w:tblStyle w:val="TableGrid"/>
        <w:tblW w:w="9922" w:type="dxa"/>
        <w:tblLook w:val="04A0" w:firstRow="1" w:lastRow="0" w:firstColumn="1" w:lastColumn="0" w:noHBand="0" w:noVBand="1"/>
      </w:tblPr>
      <w:tblGrid>
        <w:gridCol w:w="3681"/>
        <w:gridCol w:w="6241"/>
      </w:tblGrid>
      <w:tr w:rsidR="007447CD" w:rsidRPr="00F00677" w14:paraId="3DBA7989" w14:textId="77777777" w:rsidTr="00F95C56">
        <w:trPr>
          <w:trHeight w:val="492"/>
        </w:trPr>
        <w:tc>
          <w:tcPr>
            <w:tcW w:w="3681" w:type="dxa"/>
            <w:shd w:val="clear" w:color="auto" w:fill="BDD6EE" w:themeFill="accent1" w:themeFillTint="66"/>
          </w:tcPr>
          <w:p w14:paraId="4282E578" w14:textId="0A46DFB4" w:rsidR="007447CD" w:rsidRPr="00F00677" w:rsidRDefault="001A1338" w:rsidP="00F95C56">
            <w:pPr>
              <w:pStyle w:val="BodyText"/>
              <w:rPr>
                <w:b/>
              </w:rPr>
            </w:pPr>
            <w:r>
              <w:rPr>
                <w:b/>
              </w:rPr>
              <w:t xml:space="preserve">COVD-19 </w:t>
            </w:r>
            <w:r w:rsidR="007447CD" w:rsidRPr="00F00677">
              <w:rPr>
                <w:b/>
              </w:rPr>
              <w:t>Community</w:t>
            </w:r>
            <w:r>
              <w:rPr>
                <w:b/>
              </w:rPr>
              <w:t xml:space="preserve"> Recovery Quick Response</w:t>
            </w:r>
            <w:r w:rsidR="007447CD" w:rsidRPr="00F00677">
              <w:rPr>
                <w:b/>
              </w:rPr>
              <w:t xml:space="preserve"> Grant</w:t>
            </w:r>
            <w:r>
              <w:rPr>
                <w:b/>
              </w:rPr>
              <w:t xml:space="preserve"> Program</w:t>
            </w:r>
            <w:r w:rsidR="007447CD" w:rsidRPr="00F00677">
              <w:rPr>
                <w:b/>
              </w:rPr>
              <w:t xml:space="preserve"> Information Sessions</w:t>
            </w:r>
          </w:p>
        </w:tc>
        <w:tc>
          <w:tcPr>
            <w:tcW w:w="6241" w:type="dxa"/>
            <w:shd w:val="clear" w:color="auto" w:fill="BDD6EE" w:themeFill="accent1" w:themeFillTint="66"/>
          </w:tcPr>
          <w:p w14:paraId="32A9F8CC" w14:textId="77777777" w:rsidR="007447CD" w:rsidRPr="00F00677" w:rsidRDefault="007447CD" w:rsidP="00F95C56">
            <w:pPr>
              <w:pStyle w:val="BodyText"/>
              <w:rPr>
                <w:b/>
                <w:sz w:val="20"/>
                <w:szCs w:val="20"/>
              </w:rPr>
            </w:pPr>
            <w:r w:rsidRPr="00F00677">
              <w:rPr>
                <w:b/>
              </w:rPr>
              <w:t>Event Details</w:t>
            </w:r>
          </w:p>
        </w:tc>
      </w:tr>
      <w:tr w:rsidR="007447CD" w:rsidRPr="00C12AF8" w14:paraId="373BDCCC" w14:textId="77777777" w:rsidTr="00F95C56">
        <w:tc>
          <w:tcPr>
            <w:tcW w:w="3681" w:type="dxa"/>
          </w:tcPr>
          <w:p w14:paraId="288EE6ED" w14:textId="77777777" w:rsidR="007447CD" w:rsidRPr="006B570D" w:rsidRDefault="007447CD" w:rsidP="00F95C56">
            <w:pPr>
              <w:pStyle w:val="TableParagraph"/>
              <w:kinsoku w:val="0"/>
              <w:overflowPunct w:val="0"/>
              <w:spacing w:before="2" w:line="352" w:lineRule="auto"/>
              <w:ind w:left="0" w:right="1294"/>
              <w:rPr>
                <w:color w:val="0462C1"/>
                <w:szCs w:val="22"/>
              </w:rPr>
            </w:pPr>
          </w:p>
          <w:p w14:paraId="35D544ED" w14:textId="73F7FCFE" w:rsidR="007A3FE7" w:rsidRPr="006B570D" w:rsidRDefault="007A3FE7" w:rsidP="006B570D">
            <w:r w:rsidRPr="006B570D">
              <w:t xml:space="preserve">Session </w:t>
            </w:r>
            <w:r w:rsidR="00C25711" w:rsidRPr="006B570D">
              <w:t>1</w:t>
            </w:r>
          </w:p>
        </w:tc>
        <w:tc>
          <w:tcPr>
            <w:tcW w:w="6241" w:type="dxa"/>
          </w:tcPr>
          <w:p w14:paraId="3990BBC8" w14:textId="32975DDF" w:rsidR="007447CD" w:rsidRPr="006B570D" w:rsidRDefault="009217B8" w:rsidP="00F95C56">
            <w:pPr>
              <w:pStyle w:val="BodyText"/>
            </w:pPr>
            <w:r w:rsidRPr="006B570D">
              <w:t xml:space="preserve">Thursday </w:t>
            </w:r>
            <w:r w:rsidR="00C25711" w:rsidRPr="006B570D">
              <w:t xml:space="preserve">25 March 2.00pm -3.00pm </w:t>
            </w:r>
          </w:p>
          <w:p w14:paraId="3292AD05" w14:textId="77777777" w:rsidR="007447CD" w:rsidRPr="006B570D" w:rsidRDefault="007447CD" w:rsidP="00F95C56">
            <w:pPr>
              <w:pStyle w:val="BodyText"/>
            </w:pPr>
            <w:r w:rsidRPr="006B570D">
              <w:t>Online</w:t>
            </w:r>
          </w:p>
          <w:p w14:paraId="1CC11B2A" w14:textId="147B53A5" w:rsidR="00C25711" w:rsidRPr="006B570D" w:rsidRDefault="006B570D" w:rsidP="00F95C56">
            <w:pPr>
              <w:pStyle w:val="BodyText"/>
            </w:pPr>
            <w:hyperlink r:id="rId15" w:history="1">
              <w:r w:rsidR="00C25711" w:rsidRPr="006B570D">
                <w:rPr>
                  <w:rStyle w:val="Hyperlink"/>
                </w:rPr>
                <w:t>Register here</w:t>
              </w:r>
            </w:hyperlink>
          </w:p>
        </w:tc>
      </w:tr>
      <w:tr w:rsidR="007447CD" w:rsidRPr="00C12AF8" w14:paraId="31B7025A" w14:textId="77777777" w:rsidTr="00F95C56">
        <w:tc>
          <w:tcPr>
            <w:tcW w:w="3681" w:type="dxa"/>
          </w:tcPr>
          <w:p w14:paraId="0E923CFA" w14:textId="05F6CA14" w:rsidR="007447CD" w:rsidRPr="006B570D" w:rsidRDefault="006B570D" w:rsidP="00F95C56">
            <w:pPr>
              <w:pStyle w:val="BodyText"/>
              <w:rPr>
                <w:sz w:val="20"/>
                <w:szCs w:val="20"/>
              </w:rPr>
            </w:pPr>
            <w:r w:rsidRPr="006B570D">
              <w:t>Session 2</w:t>
            </w:r>
          </w:p>
        </w:tc>
        <w:tc>
          <w:tcPr>
            <w:tcW w:w="6241" w:type="dxa"/>
          </w:tcPr>
          <w:p w14:paraId="139D405B" w14:textId="51FF1CC0" w:rsidR="007447CD" w:rsidRPr="006B570D" w:rsidRDefault="006B570D" w:rsidP="00F95C56">
            <w:pPr>
              <w:pStyle w:val="BodyText"/>
            </w:pPr>
            <w:r w:rsidRPr="006B570D">
              <w:t xml:space="preserve">Tuesday </w:t>
            </w:r>
            <w:r w:rsidR="007447CD" w:rsidRPr="006B570D">
              <w:t>30 March</w:t>
            </w:r>
            <w:r w:rsidRPr="006B570D">
              <w:t xml:space="preserve"> 1.30 – 2.30pm</w:t>
            </w:r>
          </w:p>
          <w:p w14:paraId="1596CC2E" w14:textId="77777777" w:rsidR="007447CD" w:rsidRPr="006B570D" w:rsidRDefault="007447CD" w:rsidP="00F95C56">
            <w:pPr>
              <w:pStyle w:val="BodyText"/>
            </w:pPr>
            <w:r w:rsidRPr="006B570D">
              <w:t>Online</w:t>
            </w:r>
          </w:p>
          <w:p w14:paraId="1BF21908" w14:textId="1FC9E44B" w:rsidR="006B570D" w:rsidRPr="006B570D" w:rsidRDefault="006B570D" w:rsidP="00F95C56">
            <w:pPr>
              <w:pStyle w:val="BodyText"/>
            </w:pPr>
            <w:hyperlink r:id="rId16" w:history="1">
              <w:r w:rsidRPr="006B570D">
                <w:rPr>
                  <w:rStyle w:val="Hyperlink"/>
                </w:rPr>
                <w:t>Register here</w:t>
              </w:r>
            </w:hyperlink>
          </w:p>
        </w:tc>
      </w:tr>
    </w:tbl>
    <w:p w14:paraId="4A878721" w14:textId="3299ABCB" w:rsidR="00427E07" w:rsidRDefault="00427E07" w:rsidP="00427E07">
      <w:pPr>
        <w:pStyle w:val="Heading3"/>
      </w:pPr>
      <w:bookmarkStart w:id="27" w:name="_Toc67057533"/>
      <w:r>
        <w:lastRenderedPageBreak/>
        <w:t>Funding Principles</w:t>
      </w:r>
      <w:bookmarkEnd w:id="27"/>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976199">
        <w:trPr>
          <w:trHeight w:val="537"/>
          <w:tblHeader/>
        </w:trPr>
        <w:tc>
          <w:tcPr>
            <w:tcW w:w="2891" w:type="dxa"/>
            <w:shd w:val="clear" w:color="auto" w:fill="BDD6EE" w:themeFill="accent1" w:themeFillTint="66"/>
            <w:vAlign w:val="center"/>
          </w:tcPr>
          <w:p w14:paraId="27A6AFAF" w14:textId="77777777" w:rsidR="007A3871" w:rsidRPr="00187650" w:rsidRDefault="007A3871" w:rsidP="00976199">
            <w:r w:rsidRPr="00187650">
              <w:t>Funding Principles</w:t>
            </w:r>
          </w:p>
        </w:tc>
        <w:tc>
          <w:tcPr>
            <w:tcW w:w="7169" w:type="dxa"/>
            <w:shd w:val="clear" w:color="auto" w:fill="BDD6EE" w:themeFill="accent1" w:themeFillTint="66"/>
            <w:vAlign w:val="center"/>
          </w:tcPr>
          <w:p w14:paraId="40AEA1C5" w14:textId="77777777" w:rsidR="007A3871" w:rsidRPr="00187650" w:rsidRDefault="007A3871" w:rsidP="00976199">
            <w:r w:rsidRPr="00187650">
              <w:t>Funding Principles Example</w:t>
            </w:r>
          </w:p>
        </w:tc>
      </w:tr>
      <w:tr w:rsidR="007A3871" w:rsidRPr="00187650" w14:paraId="0B2AA85D" w14:textId="77777777" w:rsidTr="00976199">
        <w:tc>
          <w:tcPr>
            <w:tcW w:w="2891" w:type="dxa"/>
          </w:tcPr>
          <w:p w14:paraId="15D9D2E2" w14:textId="77777777" w:rsidR="007A3871" w:rsidRPr="00187650" w:rsidRDefault="007A3871" w:rsidP="00976199">
            <w:r w:rsidRPr="00187650">
              <w:t>Child Safe Standards</w:t>
            </w:r>
          </w:p>
        </w:tc>
        <w:tc>
          <w:tcPr>
            <w:tcW w:w="7169" w:type="dxa"/>
          </w:tcPr>
          <w:p w14:paraId="607BDF19" w14:textId="77777777" w:rsidR="007A3871" w:rsidRPr="00187650" w:rsidRDefault="007A3871" w:rsidP="00976199">
            <w:r w:rsidRPr="00187650">
              <w:t>Meet obligations in relation to keeping children and young people safe</w:t>
            </w:r>
          </w:p>
        </w:tc>
      </w:tr>
      <w:tr w:rsidR="007A3871" w:rsidRPr="00187650" w14:paraId="0ED2A8F2" w14:textId="77777777" w:rsidTr="00976199">
        <w:tc>
          <w:tcPr>
            <w:tcW w:w="2891" w:type="dxa"/>
          </w:tcPr>
          <w:p w14:paraId="7E89A8EF" w14:textId="77777777" w:rsidR="007A3871" w:rsidRPr="00187650" w:rsidRDefault="007A3871" w:rsidP="00976199">
            <w:r w:rsidRPr="00187650">
              <w:t>Inclusion &amp; Accessibility</w:t>
            </w:r>
          </w:p>
        </w:tc>
        <w:tc>
          <w:tcPr>
            <w:tcW w:w="7169" w:type="dxa"/>
          </w:tcPr>
          <w:p w14:paraId="0222DF06" w14:textId="77777777" w:rsidR="007A3871" w:rsidRPr="00187650" w:rsidRDefault="007A3871" w:rsidP="00976199">
            <w:r w:rsidRPr="00187650">
              <w:t>Be free from discrimination and enable equitable participation for all community members</w:t>
            </w:r>
          </w:p>
        </w:tc>
      </w:tr>
      <w:tr w:rsidR="007A3871" w:rsidRPr="00187650" w14:paraId="497B646F" w14:textId="77777777" w:rsidTr="00976199">
        <w:tc>
          <w:tcPr>
            <w:tcW w:w="2891" w:type="dxa"/>
          </w:tcPr>
          <w:p w14:paraId="42A8157F" w14:textId="77777777" w:rsidR="007A3871" w:rsidRPr="00187650" w:rsidRDefault="007A3871" w:rsidP="00976199">
            <w:r w:rsidRPr="00187650">
              <w:t>Equity</w:t>
            </w:r>
          </w:p>
        </w:tc>
        <w:tc>
          <w:tcPr>
            <w:tcW w:w="7169" w:type="dxa"/>
          </w:tcPr>
          <w:p w14:paraId="454D81DA" w14:textId="77777777" w:rsidR="007A3871" w:rsidRPr="00187650" w:rsidRDefault="007A3871" w:rsidP="00976199">
            <w:r w:rsidRPr="00187650">
              <w:t>Address disadvantage and offer equal opportunity to all by recognising the individual needs of different community members</w:t>
            </w:r>
          </w:p>
        </w:tc>
      </w:tr>
      <w:tr w:rsidR="007A3871" w:rsidRPr="00187650" w14:paraId="4D223444" w14:textId="77777777" w:rsidTr="00976199">
        <w:tc>
          <w:tcPr>
            <w:tcW w:w="2891" w:type="dxa"/>
          </w:tcPr>
          <w:p w14:paraId="1DC8C0CE" w14:textId="77777777" w:rsidR="007A3871" w:rsidRPr="00187650" w:rsidRDefault="007A3871" w:rsidP="00976199">
            <w:r w:rsidRPr="00187650">
              <w:t>Responsiveness</w:t>
            </w:r>
          </w:p>
        </w:tc>
        <w:tc>
          <w:tcPr>
            <w:tcW w:w="7169" w:type="dxa"/>
          </w:tcPr>
          <w:p w14:paraId="39996771" w14:textId="77777777" w:rsidR="007A3871" w:rsidRPr="00187650" w:rsidRDefault="007A3871" w:rsidP="00976199">
            <w:r w:rsidRPr="00187650">
              <w:t>Consult with participants and service users to respond to community needs.</w:t>
            </w:r>
          </w:p>
        </w:tc>
      </w:tr>
      <w:tr w:rsidR="007A3871" w:rsidRPr="00187650" w14:paraId="15CBF012" w14:textId="77777777" w:rsidTr="00976199">
        <w:tc>
          <w:tcPr>
            <w:tcW w:w="2891" w:type="dxa"/>
          </w:tcPr>
          <w:p w14:paraId="343BE2DB" w14:textId="77777777" w:rsidR="007A3871" w:rsidRPr="00187650" w:rsidRDefault="007A3871" w:rsidP="00976199">
            <w:r w:rsidRPr="00187650">
              <w:t>Efficiency &amp; Effectiveness</w:t>
            </w:r>
          </w:p>
        </w:tc>
        <w:tc>
          <w:tcPr>
            <w:tcW w:w="7169" w:type="dxa"/>
            <w:vAlign w:val="center"/>
          </w:tcPr>
          <w:p w14:paraId="787AB057" w14:textId="77777777" w:rsidR="007A3871" w:rsidRPr="00187650" w:rsidRDefault="007A3871" w:rsidP="00976199">
            <w:r w:rsidRPr="00187650">
              <w:t>Maximise use of community and council resources to achieve project goals.</w:t>
            </w:r>
          </w:p>
        </w:tc>
      </w:tr>
      <w:tr w:rsidR="007A3871" w:rsidRPr="00187650" w14:paraId="7975842C" w14:textId="77777777" w:rsidTr="00976199">
        <w:tc>
          <w:tcPr>
            <w:tcW w:w="2891" w:type="dxa"/>
          </w:tcPr>
          <w:p w14:paraId="4BC59CC2" w14:textId="77777777" w:rsidR="007A3871" w:rsidRPr="00187650" w:rsidRDefault="007A3871" w:rsidP="00976199">
            <w:r w:rsidRPr="00187650">
              <w:t>Accountability</w:t>
            </w:r>
          </w:p>
        </w:tc>
        <w:tc>
          <w:tcPr>
            <w:tcW w:w="7169" w:type="dxa"/>
          </w:tcPr>
          <w:p w14:paraId="771B9D7C" w14:textId="77777777" w:rsidR="007A3871" w:rsidRPr="00187650" w:rsidRDefault="007A3871" w:rsidP="00976199">
            <w:r w:rsidRPr="00187650">
              <w:t>Maintain transparent governance and reporting processes.</w:t>
            </w:r>
          </w:p>
        </w:tc>
      </w:tr>
      <w:tr w:rsidR="007A3871" w:rsidRPr="00187650" w14:paraId="7A67960C" w14:textId="77777777" w:rsidTr="00976199">
        <w:tc>
          <w:tcPr>
            <w:tcW w:w="2891" w:type="dxa"/>
          </w:tcPr>
          <w:p w14:paraId="2C5C7C01" w14:textId="77777777" w:rsidR="007A3871" w:rsidRPr="00187650" w:rsidRDefault="007A3871" w:rsidP="00976199">
            <w:r w:rsidRPr="00187650">
              <w:t>Sustainability</w:t>
            </w:r>
          </w:p>
        </w:tc>
        <w:tc>
          <w:tcPr>
            <w:tcW w:w="7169" w:type="dxa"/>
          </w:tcPr>
          <w:p w14:paraId="730DFB1E" w14:textId="77777777" w:rsidR="007A3871" w:rsidRPr="00187650" w:rsidRDefault="007A3871" w:rsidP="00976199">
            <w:r w:rsidRPr="00187650">
              <w:t>Model environmental, social and economic sustainable practice.</w:t>
            </w:r>
          </w:p>
        </w:tc>
      </w:tr>
    </w:tbl>
    <w:p w14:paraId="4C605B98" w14:textId="77777777" w:rsidR="007A3871" w:rsidRPr="007A3871" w:rsidRDefault="007A3871" w:rsidP="007A3871"/>
    <w:p w14:paraId="28AD6BB4" w14:textId="5DFB573D" w:rsidR="00453C26" w:rsidRDefault="00453C26" w:rsidP="00427E07">
      <w:pPr>
        <w:pStyle w:val="Heading3"/>
      </w:pPr>
      <w:bookmarkStart w:id="28" w:name="_Toc67057534"/>
      <w:r>
        <w:t>Access and Inclusion</w:t>
      </w:r>
      <w:bookmarkEnd w:id="28"/>
    </w:p>
    <w:p w14:paraId="16C6B5D7" w14:textId="1D73670C" w:rsidR="00FD4F31" w:rsidRDefault="00FD4F31" w:rsidP="00FD4F31">
      <w:r w:rsidRPr="003D31EF">
        <w:t>Interpreters for Auslan and languages other than English are available upon request. If you have any access or support requirements to enable equitable participation in this program, please contact</w:t>
      </w:r>
      <w:r w:rsidR="002C4411">
        <w:t xml:space="preserve"> Metro Access Project Officer </w:t>
      </w:r>
      <w:r w:rsidRPr="003D31EF">
        <w:t xml:space="preserve">on </w:t>
      </w:r>
      <w:r w:rsidR="002C4411">
        <w:t xml:space="preserve">03 9209 6777 or </w:t>
      </w:r>
      <w:hyperlink r:id="rId17" w:history="1">
        <w:r w:rsidR="007447CD" w:rsidRPr="00ED33CD">
          <w:rPr>
            <w:rStyle w:val="Hyperlink"/>
          </w:rPr>
          <w:t>Kelly.armstrong@portphillip.vic.gov.au</w:t>
        </w:r>
      </w:hyperlink>
      <w:r w:rsidR="00695739">
        <w:t xml:space="preserve"> </w:t>
      </w:r>
    </w:p>
    <w:p w14:paraId="7C807181" w14:textId="043FDF2B" w:rsidR="00FD4F31" w:rsidRDefault="00FD4F31" w:rsidP="00FD4F31">
      <w:r>
        <w:t>Council has also provided an Accessibility and Disability Inclusion Fact Sheet to support applicants ensure that their projects are inclusive for all participants.</w:t>
      </w:r>
    </w:p>
    <w:p w14:paraId="145073C1" w14:textId="77777777" w:rsidR="00FD4F31" w:rsidRPr="00C745B0" w:rsidRDefault="00FD4F31" w:rsidP="00FD4F31">
      <w:pPr>
        <w:pStyle w:val="Heading3"/>
      </w:pPr>
      <w:bookmarkStart w:id="29" w:name="_Toc30506391"/>
      <w:bookmarkStart w:id="30" w:name="_Toc67057535"/>
      <w:r>
        <w:t>Ensuring a child safe City of Port Phillip</w:t>
      </w:r>
      <w:bookmarkEnd w:id="29"/>
      <w:bookmarkEnd w:id="30"/>
    </w:p>
    <w:p w14:paraId="45812449" w14:textId="014331CB" w:rsidR="00FD4F31" w:rsidRDefault="00FD4F31" w:rsidP="00FD4F31">
      <w:r>
        <w:t xml:space="preserve">The City of Port Phillip has zero tolerance for child </w:t>
      </w:r>
      <w:r w:rsidR="00D07E9D">
        <w:t>abuse,</w:t>
      </w:r>
      <w:r>
        <w:t xml:space="preserv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2"/>
      </w:r>
    </w:p>
    <w:p w14:paraId="0659EC13" w14:textId="77777777"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18" w:history="1">
        <w:r w:rsidRPr="00600EA6">
          <w:rPr>
            <w:rStyle w:val="Hyperlink"/>
          </w:rPr>
          <w:t>Victorian Child Safe Standards (CSS)</w:t>
        </w:r>
      </w:hyperlink>
    </w:p>
    <w:p w14:paraId="2B23E15A" w14:textId="4BBB8ECA" w:rsidR="00453C26" w:rsidRDefault="00453C26" w:rsidP="00427E07">
      <w:pPr>
        <w:pStyle w:val="Heading3"/>
      </w:pPr>
      <w:bookmarkStart w:id="31" w:name="_Toc67057536"/>
      <w:r>
        <w:t>Sustainability</w:t>
      </w:r>
      <w:bookmarkEnd w:id="31"/>
    </w:p>
    <w:p w14:paraId="426C927E" w14:textId="77777777" w:rsidR="00FD4F31" w:rsidRPr="000A267B" w:rsidRDefault="00FD4F31" w:rsidP="00FD4F31">
      <w:pPr>
        <w:rPr>
          <w:i/>
          <w:iCs/>
        </w:rPr>
      </w:pPr>
      <w:r>
        <w:t xml:space="preserve">The City of Port Phillip has committed to improving sustainability and reducing waste through its strategies, </w:t>
      </w:r>
      <w:hyperlink r:id="rId19"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44483A" w:rsidRDefault="00FD4F31" w:rsidP="0044483A">
      <w:pPr>
        <w:pStyle w:val="ListParagraph"/>
      </w:pPr>
      <w:r w:rsidRPr="0044483A">
        <w:t>Balloons</w:t>
      </w:r>
    </w:p>
    <w:p w14:paraId="69A3BC20" w14:textId="77777777" w:rsidR="00FD4F31" w:rsidRPr="0044483A" w:rsidRDefault="00FD4F31" w:rsidP="0044483A">
      <w:pPr>
        <w:pStyle w:val="ListParagraph"/>
      </w:pPr>
      <w:r w:rsidRPr="0044483A">
        <w:lastRenderedPageBreak/>
        <w:t>Single use plastic bags and straws</w:t>
      </w:r>
    </w:p>
    <w:p w14:paraId="49750CAA" w14:textId="77777777" w:rsidR="00FD4F31" w:rsidRPr="0044483A" w:rsidRDefault="00FD4F31" w:rsidP="0044483A">
      <w:pPr>
        <w:pStyle w:val="ListParagraph"/>
      </w:pPr>
      <w:r w:rsidRPr="0044483A">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44483A" w:rsidRDefault="00FD4F31" w:rsidP="0044483A">
      <w:pPr>
        <w:pStyle w:val="ListParagraph"/>
      </w:pPr>
      <w:r w:rsidRPr="0044483A">
        <w:t>Avoiding the use of disposable decorations</w:t>
      </w:r>
    </w:p>
    <w:p w14:paraId="6865A487" w14:textId="77777777" w:rsidR="00FD4F31" w:rsidRPr="0044483A" w:rsidRDefault="00FD4F31" w:rsidP="0044483A">
      <w:pPr>
        <w:pStyle w:val="ListParagraph"/>
      </w:pPr>
      <w:r w:rsidRPr="0044483A">
        <w:t>Reducing power consumption</w:t>
      </w:r>
    </w:p>
    <w:p w14:paraId="1E65B4CC" w14:textId="77777777" w:rsidR="00FD4F31" w:rsidRPr="0044483A" w:rsidRDefault="00FD4F31" w:rsidP="0044483A">
      <w:pPr>
        <w:pStyle w:val="ListParagraph"/>
      </w:pPr>
      <w:r w:rsidRPr="0044483A">
        <w:t>Utilising e-ticketing</w:t>
      </w:r>
    </w:p>
    <w:p w14:paraId="3ED5C336" w14:textId="77777777" w:rsidR="00FD4F31" w:rsidRPr="0044483A" w:rsidRDefault="00FD4F31" w:rsidP="0044483A">
      <w:pPr>
        <w:pStyle w:val="ListParagraph"/>
      </w:pPr>
      <w:r w:rsidRPr="0044483A">
        <w:t>Promoting public transport, walking and cycling</w:t>
      </w:r>
    </w:p>
    <w:p w14:paraId="29AEC4F0" w14:textId="77777777" w:rsidR="00FD4F31" w:rsidRPr="0044483A" w:rsidRDefault="00FD4F31" w:rsidP="0044483A">
      <w:pPr>
        <w:pStyle w:val="ListParagraph"/>
      </w:pPr>
      <w:r w:rsidRPr="0044483A">
        <w:t>Sharing resources with other organisations or project supporters</w:t>
      </w:r>
    </w:p>
    <w:p w14:paraId="30C5E841" w14:textId="77777777" w:rsidR="00FD4F31" w:rsidRPr="0044483A" w:rsidRDefault="00FD4F31" w:rsidP="0044483A">
      <w:pPr>
        <w:pStyle w:val="ListParagraph"/>
      </w:pPr>
      <w:r w:rsidRPr="0044483A">
        <w:t>Washing crockery and cutlery rather than using disposable items</w:t>
      </w:r>
    </w:p>
    <w:p w14:paraId="336BE0E1" w14:textId="77777777" w:rsidR="00FD4F31" w:rsidRPr="0044483A" w:rsidRDefault="00FD4F31" w:rsidP="0044483A">
      <w:pPr>
        <w:pStyle w:val="ListParagraph"/>
      </w:pPr>
      <w:r w:rsidRPr="0044483A">
        <w:t>Encouraging reusable coffee cups</w:t>
      </w:r>
    </w:p>
    <w:p w14:paraId="4C9ED45B" w14:textId="77777777" w:rsidR="00FD4F31" w:rsidRPr="0044483A" w:rsidRDefault="00FD4F31" w:rsidP="0044483A">
      <w:pPr>
        <w:pStyle w:val="ListParagraph"/>
      </w:pPr>
      <w:r w:rsidRPr="0044483A">
        <w:t>Providing drinking water to reduce the use of plastic bottles</w:t>
      </w:r>
    </w:p>
    <w:p w14:paraId="04457EE1" w14:textId="77777777" w:rsidR="00FD4F31" w:rsidRPr="0044483A" w:rsidRDefault="00FD4F31" w:rsidP="0044483A">
      <w:pPr>
        <w:pStyle w:val="ListParagraph"/>
      </w:pPr>
      <w:r w:rsidRPr="0044483A">
        <w:t>Composting organic waste</w:t>
      </w:r>
    </w:p>
    <w:p w14:paraId="08BD646A" w14:textId="77777777" w:rsidR="00FD4F31" w:rsidRDefault="00FD4F31" w:rsidP="00FD4F31">
      <w:pPr>
        <w:rPr>
          <w:rStyle w:val="Hyperlink"/>
        </w:rPr>
      </w:pPr>
      <w:r>
        <w:t xml:space="preserve">For advice about making your event more sustainable, contact Lisa Paton, City of Port Phillip Sustainable Programs, on phone 03 8563 7734 or email </w:t>
      </w:r>
      <w:hyperlink r:id="rId20" w:history="1">
        <w:r>
          <w:rPr>
            <w:rStyle w:val="Hyperlink"/>
          </w:rPr>
          <w:t xml:space="preserve">Lisa.Paton@portphillip.vic.gov.au </w:t>
        </w:r>
      </w:hyperlink>
    </w:p>
    <w:p w14:paraId="7E111C75" w14:textId="37D6E406" w:rsidR="00453C26" w:rsidRDefault="00453C26" w:rsidP="00427E07">
      <w:pPr>
        <w:pStyle w:val="Heading3"/>
      </w:pPr>
      <w:bookmarkStart w:id="32" w:name="_Toc67057537"/>
      <w:r>
        <w:t>Lobbyin</w:t>
      </w:r>
      <w:r w:rsidR="00427E07">
        <w:t>g</w:t>
      </w:r>
      <w:bookmarkEnd w:id="32"/>
    </w:p>
    <w:p w14:paraId="100CFE5C" w14:textId="77777777" w:rsidR="00F957EA" w:rsidRPr="003D31EF" w:rsidRDefault="00F957EA" w:rsidP="00F957EA">
      <w:r w:rsidRPr="003D31EF">
        <w:t>Canvassing or lobbying of councillors, employees of the City of Port Phillip or assessment panel members in relation to any grant, subsidy and sponsorship applications is prohibited.</w:t>
      </w:r>
    </w:p>
    <w:p w14:paraId="122DC0B1" w14:textId="05037104" w:rsidR="00B0260B" w:rsidRDefault="00B0260B" w:rsidP="00B0260B">
      <w:pPr>
        <w:pStyle w:val="Heading3"/>
      </w:pPr>
      <w:bookmarkStart w:id="33" w:name="_Toc67057538"/>
      <w:r>
        <w:t>Appendix A – Definitions</w:t>
      </w:r>
      <w:bookmarkEnd w:id="33"/>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42BC525E" w:rsidR="00F957E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303F569F" w14:textId="77777777" w:rsidR="00F957EA" w:rsidRPr="00CA69BA" w:rsidRDefault="00F957EA" w:rsidP="00F957EA">
      <w:r w:rsidRPr="00CA69BA">
        <w:rPr>
          <w:b/>
          <w:bCs/>
        </w:rPr>
        <w:lastRenderedPageBreak/>
        <w:t xml:space="preserve">Community Grants Assessment Panel: </w:t>
      </w:r>
      <w:r w:rsidRPr="00CA69BA">
        <w:t>City of Port Phillip has two Community Grant Assessment Panels responsible for assessing Community Grant Applications. Each Panel consists of two Community Representatives, a Councillor and a Council Officer. Care is taken to ensure that representatives do not have a conflict of interest in assessing and recommending Grants for funding.</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77777777" w:rsidR="00F957EA" w:rsidRPr="00CA69BA" w:rsidRDefault="00F957EA" w:rsidP="00F957EA">
      <w:r w:rsidRPr="00CA69BA">
        <w:rPr>
          <w:b/>
          <w:bCs/>
        </w:rPr>
        <w:t xml:space="preserve">Funding Deed: </w:t>
      </w:r>
      <w:r w:rsidRPr="00CA69BA">
        <w:t>A Funding Deed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Deed will be issued to successful applicants for amounts over $2000.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34" w:name="_Hlk51768018"/>
      <w:bookmarkStart w:id="35"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34"/>
      <w:r w:rsidRPr="00F93707">
        <w:t xml:space="preserve">  Successful organisations with an ABN and not registered for GST will not receive a Recipient Created Tax Invoice or 10% GST for their grant.  These organisations will receive only their grant amount.</w:t>
      </w:r>
    </w:p>
    <w:bookmarkEnd w:id="35"/>
    <w:p w14:paraId="4BB87BF4" w14:textId="09A108DD" w:rsidR="00F957EA" w:rsidRPr="00CA69BA" w:rsidRDefault="00F957EA" w:rsidP="00F957EA">
      <w:r w:rsidRPr="00CA69BA">
        <w:rPr>
          <w:b/>
          <w:bCs/>
        </w:rPr>
        <w:t xml:space="preserve">In-kind Contributions: </w:t>
      </w:r>
      <w:r w:rsidRPr="00CA69BA">
        <w:t>An in-kind contribution is the ‘</w:t>
      </w:r>
      <w:r w:rsidR="00D07E9D" w:rsidRPr="00CA69BA">
        <w:t>noncash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77777777" w:rsidR="00F957EA" w:rsidRDefault="00F957EA" w:rsidP="00F957EA">
      <w:bookmarkStart w:id="36"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44483A">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44483A">
      <w:pPr>
        <w:pStyle w:val="ListParagraph"/>
        <w:rPr>
          <w:color w:val="000000"/>
        </w:rPr>
      </w:pPr>
      <w:r w:rsidRPr="00CA69BA">
        <w:t>is insolvent</w:t>
      </w:r>
    </w:p>
    <w:p w14:paraId="45AED753" w14:textId="77777777" w:rsidR="00F957EA" w:rsidRPr="00CA69BA" w:rsidRDefault="00F957EA" w:rsidP="0044483A">
      <w:pPr>
        <w:pStyle w:val="ListParagraph"/>
        <w:rPr>
          <w:color w:val="000000"/>
        </w:rPr>
      </w:pPr>
      <w:r w:rsidRPr="00CA69BA">
        <w:t>is under legal investigation</w:t>
      </w:r>
    </w:p>
    <w:p w14:paraId="5F87533B" w14:textId="77777777" w:rsidR="00F957EA" w:rsidRPr="00CA69BA" w:rsidRDefault="00F957EA" w:rsidP="0044483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44483A">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44483A">
      <w:pPr>
        <w:pStyle w:val="ListParagraph"/>
        <w:rPr>
          <w:color w:val="000000"/>
        </w:rPr>
      </w:pPr>
      <w:r w:rsidRPr="00CA69BA">
        <w:lastRenderedPageBreak/>
        <w:t>completed the project and failed to lodge an</w:t>
      </w:r>
      <w:r w:rsidRPr="00CA69BA">
        <w:rPr>
          <w:spacing w:val="-9"/>
        </w:rPr>
        <w:t xml:space="preserve"> </w:t>
      </w:r>
      <w:r w:rsidRPr="00CA69BA">
        <w:t>acquittal</w:t>
      </w:r>
    </w:p>
    <w:bookmarkEnd w:id="36"/>
    <w:p w14:paraId="126C6482" w14:textId="064417CA" w:rsidR="00F957EA" w:rsidRPr="00CA69BA" w:rsidRDefault="00F957EA" w:rsidP="00F957EA">
      <w:r w:rsidRPr="00CA69BA">
        <w:rPr>
          <w:b/>
          <w:bCs/>
        </w:rPr>
        <w:t xml:space="preserve">Not for Profit (NFP) Organisation: </w:t>
      </w:r>
      <w:r w:rsidR="00D07E9D" w:rsidRPr="00CA69BA">
        <w:t>An</w:t>
      </w:r>
      <w:r w:rsidRPr="00CA69BA">
        <w:t xml:space="preserve"> NFP is an organisation that does not distribute any profit </w:t>
      </w:r>
      <w:r w:rsidR="00D07E9D"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77777777" w:rsidR="00F957EA" w:rsidRPr="00CA69BA" w:rsidRDefault="00F957EA" w:rsidP="00F957EA">
      <w:r w:rsidRPr="00CA69BA">
        <w:rPr>
          <w:b/>
          <w:bCs/>
        </w:rPr>
        <w:t xml:space="preserve">Project Status Report: </w:t>
      </w:r>
      <w:r w:rsidRPr="00CA69BA">
        <w:t>An online Project Status Report must be submitted if the Acquittal Report has not been submitted by 06 March 2020.</w:t>
      </w:r>
    </w:p>
    <w:p w14:paraId="27B2C178" w14:textId="77777777" w:rsidR="00F957EA"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Community Grants and Funding Officer on 9209 6694 or </w:t>
      </w:r>
      <w:hyperlink r:id="rId21" w:history="1">
        <w:r w:rsidRPr="00CA69BA">
          <w:rPr>
            <w:rStyle w:val="Hyperlink"/>
          </w:rPr>
          <w:t>grants@portphillip.vic.gov.au</w:t>
        </w:r>
      </w:hyperlink>
    </w:p>
    <w:p w14:paraId="6B179C71" w14:textId="5F690DBC" w:rsidR="00B0260B" w:rsidRDefault="00B0260B" w:rsidP="00B0260B">
      <w:pPr>
        <w:pStyle w:val="Heading3"/>
      </w:pPr>
      <w:bookmarkStart w:id="37" w:name="_Toc67057539"/>
      <w:r>
        <w:t>Appendix B – City of Port Phillip Map</w:t>
      </w:r>
      <w:bookmarkEnd w:id="37"/>
    </w:p>
    <w:p w14:paraId="1481A97E" w14:textId="77777777" w:rsidR="00F957EA" w:rsidRDefault="00F957EA" w:rsidP="00F957EA">
      <w:r w:rsidRPr="00056D59">
        <w:rPr>
          <w:rStyle w:val="BodyTextChar"/>
        </w:rPr>
        <w:t>If you would like to access a digital map of Port Phillip, please view</w:t>
      </w:r>
      <w:r>
        <w:t xml:space="preserve"> </w:t>
      </w:r>
      <w:hyperlink r:id="rId22"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drawing>
          <wp:inline distT="0" distB="0" distL="0" distR="0" wp14:anchorId="01A44E5A" wp14:editId="4972FD19">
            <wp:extent cx="4187978" cy="6012000"/>
            <wp:effectExtent l="2540" t="0" r="5715" b="5715"/>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4187978" cy="6012000"/>
                    </a:xfrm>
                    <a:prstGeom prst="rect">
                      <a:avLst/>
                    </a:prstGeom>
                    <a:noFill/>
                    <a:ln>
                      <a:noFill/>
                    </a:ln>
                  </pic:spPr>
                </pic:pic>
              </a:graphicData>
            </a:graphic>
          </wp:inline>
        </w:drawing>
      </w:r>
    </w:p>
    <w:p w14:paraId="000221A0" w14:textId="5AF41439" w:rsidR="00B0260B" w:rsidRDefault="00B0260B" w:rsidP="00B0260B">
      <w:pPr>
        <w:pStyle w:val="Heading3"/>
      </w:pPr>
      <w:bookmarkStart w:id="38" w:name="_Toc67057540"/>
      <w:r>
        <w:lastRenderedPageBreak/>
        <w:t>Appendix C – Grant Terms and Conditions</w:t>
      </w:r>
      <w:bookmarkEnd w:id="38"/>
    </w:p>
    <w:p w14:paraId="29FE13D0" w14:textId="77777777" w:rsidR="00F957EA" w:rsidRPr="00AE5CE1" w:rsidRDefault="00F957EA" w:rsidP="0044483A">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2CC93467" w:rsidR="00F957EA" w:rsidRPr="00AE5CE1" w:rsidRDefault="00F957EA" w:rsidP="0044483A">
      <w:pPr>
        <w:pStyle w:val="ListParagraph"/>
        <w:rPr>
          <w:rFonts w:ascii="Symbol" w:hAnsi="Symbol" w:cs="Symbol"/>
          <w:color w:val="000000"/>
        </w:rPr>
      </w:pPr>
      <w:r w:rsidRPr="00056D59">
        <w:t xml:space="preserve">Funded organisations must provide a Project Acquittal Report </w:t>
      </w:r>
      <w:r w:rsidR="00A652AE">
        <w:t>4</w:t>
      </w:r>
      <w:r>
        <w:t xml:space="preserve"> weeks</w:t>
      </w:r>
      <w:r w:rsidRPr="00056D59">
        <w:t xml:space="preserve"> after completion of</w:t>
      </w:r>
      <w:r w:rsidRPr="00056D59">
        <w:rPr>
          <w:spacing w:val="-29"/>
        </w:rPr>
        <w:t xml:space="preserve"> </w:t>
      </w:r>
      <w:r w:rsidRPr="00056D59">
        <w:rPr>
          <w:spacing w:val="2"/>
        </w:rPr>
        <w:t xml:space="preserve">the </w:t>
      </w:r>
      <w:r w:rsidRPr="00056D59">
        <w:t xml:space="preserve">project or before </w:t>
      </w:r>
      <w:r w:rsidR="00A652AE">
        <w:t>December 2021</w:t>
      </w:r>
      <w:r w:rsidRPr="00056D59">
        <w:t xml:space="preserve"> by which time all projects should be completed unless otherwise approved in writing by Council. All reports are to be submitted online via </w:t>
      </w:r>
      <w:hyperlink r:id="rId24" w:history="1">
        <w:r w:rsidRPr="00056D59">
          <w:rPr>
            <w:rStyle w:val="Hyperlink"/>
            <w:color w:val="0462C1"/>
          </w:rPr>
          <w:t>https://portphillip.smartygrants.com.au/</w:t>
        </w:r>
      </w:hyperlink>
      <w:r w:rsidRPr="00056D59">
        <w:t>.</w:t>
      </w:r>
    </w:p>
    <w:p w14:paraId="3B4529A3" w14:textId="77777777" w:rsidR="00F957EA" w:rsidRPr="00AE5CE1" w:rsidRDefault="00F957EA" w:rsidP="0044483A">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and are planning to invite the Mayor/Councillors and/or Council Officers, are required to ensure their invitation is sent at least 4 weeks prior to the event. The relevant Council officer must be notified of this</w:t>
      </w:r>
      <w:r w:rsidRPr="00056D59">
        <w:rPr>
          <w:spacing w:val="-1"/>
        </w:rPr>
        <w:t xml:space="preserve"> </w:t>
      </w:r>
      <w:r w:rsidRPr="00056D59">
        <w:t>invitation.</w:t>
      </w:r>
    </w:p>
    <w:p w14:paraId="675B1559" w14:textId="77777777" w:rsidR="00F957EA" w:rsidRPr="00AE5CE1" w:rsidRDefault="00F957EA" w:rsidP="0044483A">
      <w:pPr>
        <w:pStyle w:val="ListParagraph"/>
      </w:pPr>
      <w:r w:rsidRPr="00AE5CE1">
        <w:t xml:space="preserve">Funded organisations are required to acknowledge the City of Port Phillip in all promotional or publicity material for the funded project. The presentation of the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6A306DF8" w:rsidR="00F957EA" w:rsidRPr="00AE5CE1" w:rsidRDefault="00F957EA" w:rsidP="0044483A">
      <w:pPr>
        <w:pStyle w:val="ListParagraph"/>
        <w:rPr>
          <w:rFonts w:ascii="Symbol" w:hAnsi="Symbol" w:cs="Symbol"/>
          <w:color w:val="000000"/>
        </w:rPr>
      </w:pPr>
      <w:r w:rsidRPr="00056D59">
        <w:t xml:space="preserve">Funding from the </w:t>
      </w:r>
      <w:r w:rsidR="00AD4765">
        <w:t xml:space="preserve">COVID 19 </w:t>
      </w:r>
      <w:r w:rsidR="00672437">
        <w:t>Community</w:t>
      </w:r>
      <w:r w:rsidR="00AD4765">
        <w:t xml:space="preserve"> Quick Response </w:t>
      </w:r>
      <w:r w:rsidR="003A4A24">
        <w:t>Recovery Program 2021</w:t>
      </w:r>
      <w:r w:rsidRPr="00056D59">
        <w:t xml:space="preserve"> 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44483A">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44483A">
      <w:pPr>
        <w:pStyle w:val="ListParagraph"/>
        <w:numPr>
          <w:ilvl w:val="3"/>
          <w:numId w:val="3"/>
        </w:numPr>
      </w:pPr>
      <w:r w:rsidRPr="00AE5CE1">
        <w:t>Carer Recognition Act 2012</w:t>
      </w:r>
    </w:p>
    <w:p w14:paraId="30DDFF66" w14:textId="77777777" w:rsidR="00F957EA" w:rsidRPr="00AE5CE1" w:rsidRDefault="00F957EA" w:rsidP="0044483A">
      <w:pPr>
        <w:pStyle w:val="ListParagraph"/>
        <w:numPr>
          <w:ilvl w:val="3"/>
          <w:numId w:val="3"/>
        </w:numPr>
      </w:pPr>
      <w:r w:rsidRPr="00AE5CE1">
        <w:t>Consumer Affairs Victoria</w:t>
      </w:r>
    </w:p>
    <w:p w14:paraId="4F9BB52F" w14:textId="77777777" w:rsidR="00F957EA" w:rsidRPr="00AE5CE1" w:rsidRDefault="00F957EA" w:rsidP="0044483A">
      <w:pPr>
        <w:pStyle w:val="ListParagraph"/>
        <w:numPr>
          <w:ilvl w:val="3"/>
          <w:numId w:val="3"/>
        </w:numPr>
      </w:pPr>
      <w:r w:rsidRPr="00AE5CE1">
        <w:t>Charter of Human Rights and Responsibilities Act 2006</w:t>
      </w:r>
    </w:p>
    <w:p w14:paraId="2382B0B4" w14:textId="77777777" w:rsidR="00F957EA" w:rsidRPr="00AE5CE1" w:rsidRDefault="00F957EA" w:rsidP="0044483A">
      <w:pPr>
        <w:pStyle w:val="ListParagraph"/>
        <w:numPr>
          <w:ilvl w:val="3"/>
          <w:numId w:val="3"/>
        </w:numPr>
      </w:pPr>
      <w:r w:rsidRPr="00AE5CE1">
        <w:t>Child Safe Standards</w:t>
      </w:r>
    </w:p>
    <w:p w14:paraId="67C1C10E" w14:textId="77777777" w:rsidR="00F957EA" w:rsidRPr="00AE5CE1" w:rsidRDefault="00F957EA" w:rsidP="0044483A">
      <w:pPr>
        <w:pStyle w:val="ListParagraph"/>
        <w:numPr>
          <w:ilvl w:val="3"/>
          <w:numId w:val="3"/>
        </w:numPr>
      </w:pPr>
      <w:r w:rsidRPr="00AE5CE1">
        <w:t>Disability Discrimination Act 1992</w:t>
      </w:r>
    </w:p>
    <w:p w14:paraId="0F1823DC" w14:textId="77777777" w:rsidR="00F957EA" w:rsidRPr="00AE5CE1" w:rsidRDefault="00F957EA" w:rsidP="0044483A">
      <w:pPr>
        <w:pStyle w:val="ListParagraph"/>
        <w:numPr>
          <w:ilvl w:val="3"/>
          <w:numId w:val="3"/>
        </w:numPr>
      </w:pPr>
      <w:r w:rsidRPr="00AE5CE1">
        <w:t>Equal Opportunity Act 1995</w:t>
      </w:r>
    </w:p>
    <w:p w14:paraId="2C24665F" w14:textId="77777777" w:rsidR="00F957EA" w:rsidRPr="00AE5CE1" w:rsidRDefault="00F957EA" w:rsidP="0044483A">
      <w:pPr>
        <w:pStyle w:val="ListParagraph"/>
        <w:numPr>
          <w:ilvl w:val="3"/>
          <w:numId w:val="3"/>
        </w:numPr>
      </w:pPr>
      <w:r w:rsidRPr="00AE5CE1">
        <w:t>Fair Work Act 2009</w:t>
      </w:r>
    </w:p>
    <w:p w14:paraId="0B780DE0" w14:textId="77777777" w:rsidR="00F957EA" w:rsidRPr="00AE5CE1" w:rsidRDefault="00F957EA" w:rsidP="0044483A">
      <w:pPr>
        <w:pStyle w:val="ListParagraph"/>
        <w:numPr>
          <w:ilvl w:val="3"/>
          <w:numId w:val="3"/>
        </w:numPr>
      </w:pPr>
      <w:r w:rsidRPr="00AE5CE1">
        <w:t>Privacy and Data Protection Act 2014</w:t>
      </w:r>
    </w:p>
    <w:p w14:paraId="17B9092B" w14:textId="77777777" w:rsidR="00F957EA" w:rsidRPr="00AE5CE1" w:rsidRDefault="00F957EA" w:rsidP="0044483A">
      <w:pPr>
        <w:pStyle w:val="ListParagraph"/>
        <w:numPr>
          <w:ilvl w:val="3"/>
          <w:numId w:val="3"/>
        </w:numPr>
      </w:pPr>
      <w:r w:rsidRPr="00AE5CE1">
        <w:t>Public Liability Insurance</w:t>
      </w:r>
    </w:p>
    <w:p w14:paraId="30A17257" w14:textId="77777777" w:rsidR="00F957EA" w:rsidRPr="00AE5CE1" w:rsidRDefault="00F957EA" w:rsidP="0044483A">
      <w:pPr>
        <w:pStyle w:val="ListParagraph"/>
        <w:numPr>
          <w:ilvl w:val="3"/>
          <w:numId w:val="3"/>
        </w:numPr>
      </w:pPr>
      <w:r w:rsidRPr="00AE5CE1">
        <w:t>Racial and Religious Tolerance Act 2001</w:t>
      </w:r>
    </w:p>
    <w:p w14:paraId="3CAC4487" w14:textId="77777777" w:rsidR="00F957EA" w:rsidRPr="00AE5CE1" w:rsidRDefault="00F957EA" w:rsidP="0044483A">
      <w:pPr>
        <w:pStyle w:val="ListParagraph"/>
        <w:numPr>
          <w:ilvl w:val="3"/>
          <w:numId w:val="3"/>
        </w:numPr>
      </w:pPr>
      <w:r w:rsidRPr="00AE5CE1">
        <w:t>Child Safe Standards</w:t>
      </w:r>
    </w:p>
    <w:p w14:paraId="37CDCF7A" w14:textId="77777777" w:rsidR="00F957EA" w:rsidRPr="00AE5CE1" w:rsidRDefault="00F957EA" w:rsidP="0044483A">
      <w:pPr>
        <w:pStyle w:val="ListParagraph"/>
        <w:numPr>
          <w:ilvl w:val="3"/>
          <w:numId w:val="3"/>
        </w:numPr>
      </w:pPr>
      <w:r w:rsidRPr="00AE5CE1">
        <w:t>Victorian Disability Act 2006</w:t>
      </w:r>
    </w:p>
    <w:p w14:paraId="6D9D4C64" w14:textId="77777777" w:rsidR="00F957EA" w:rsidRPr="00AE5CE1" w:rsidRDefault="00F957EA" w:rsidP="0044483A">
      <w:pPr>
        <w:pStyle w:val="ListParagraph"/>
        <w:numPr>
          <w:ilvl w:val="3"/>
          <w:numId w:val="3"/>
        </w:numPr>
      </w:pPr>
      <w:r w:rsidRPr="00AE5CE1">
        <w:t>Volunteer Personal Accident Insurance</w:t>
      </w:r>
    </w:p>
    <w:p w14:paraId="468886B3" w14:textId="77777777" w:rsidR="00F957EA" w:rsidRPr="00AE5CE1" w:rsidRDefault="00F957EA" w:rsidP="0044483A">
      <w:pPr>
        <w:pStyle w:val="ListParagraph"/>
        <w:numPr>
          <w:ilvl w:val="3"/>
          <w:numId w:val="3"/>
        </w:numPr>
      </w:pPr>
      <w:r w:rsidRPr="00AE5CE1">
        <w:t>WorkSafe Victoria</w:t>
      </w:r>
    </w:p>
    <w:p w14:paraId="60B8BB80" w14:textId="77777777" w:rsidR="00F957EA" w:rsidRPr="00F957EA" w:rsidRDefault="00F957EA" w:rsidP="00F957EA"/>
    <w:sectPr w:rsidR="00F957EA" w:rsidRPr="00F957EA" w:rsidSect="000E359E">
      <w:headerReference w:type="default" r:id="rId25"/>
      <w:footerReference w:type="default" r:id="rId26"/>
      <w:headerReference w:type="first" r:id="rId27"/>
      <w:footerReference w:type="first" r:id="rId28"/>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6DE69" w14:textId="77777777" w:rsidR="002F1122" w:rsidRDefault="002F1122" w:rsidP="004D04F4">
      <w:r>
        <w:separator/>
      </w:r>
    </w:p>
  </w:endnote>
  <w:endnote w:type="continuationSeparator" w:id="0">
    <w:p w14:paraId="38B7BC9B" w14:textId="77777777" w:rsidR="002F1122" w:rsidRDefault="002F1122" w:rsidP="004D04F4">
      <w:r>
        <w:continuationSeparator/>
      </w:r>
    </w:p>
  </w:endnote>
  <w:endnote w:type="continuationNotice" w:id="1">
    <w:p w14:paraId="4331AF1E" w14:textId="77777777" w:rsidR="002F1122" w:rsidRDefault="002F1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71B3F59B" w14:textId="77777777" w:rsidR="002835CE" w:rsidRDefault="002835CE" w:rsidP="002835CE">
        <w:pPr>
          <w:pBdr>
            <w:bottom w:val="single" w:sz="6" w:space="1" w:color="auto"/>
          </w:pBdr>
        </w:pPr>
      </w:p>
      <w:p w14:paraId="1FE22DBA" w14:textId="77777777" w:rsidR="002835CE" w:rsidRDefault="00A70DC3"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D327D7" w:rsidRDefault="00D327D7" w:rsidP="00D327D7">
    <w:pPr>
      <w:pBdr>
        <w:bottom w:val="single" w:sz="6" w:space="1" w:color="auto"/>
      </w:pBdr>
    </w:pPr>
  </w:p>
  <w:p w14:paraId="38AC01DE" w14:textId="77777777" w:rsidR="00D327D7" w:rsidRDefault="00D327D7"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33DD" w14:textId="77777777" w:rsidR="002F1122" w:rsidRDefault="002F1122" w:rsidP="004D04F4">
      <w:r>
        <w:separator/>
      </w:r>
    </w:p>
  </w:footnote>
  <w:footnote w:type="continuationSeparator" w:id="0">
    <w:p w14:paraId="0D67F438" w14:textId="77777777" w:rsidR="002F1122" w:rsidRDefault="002F1122" w:rsidP="004D04F4">
      <w:r>
        <w:continuationSeparator/>
      </w:r>
    </w:p>
  </w:footnote>
  <w:footnote w:type="continuationNotice" w:id="1">
    <w:p w14:paraId="656F740B" w14:textId="77777777" w:rsidR="002F1122" w:rsidRDefault="002F1122">
      <w:pPr>
        <w:spacing w:after="0" w:line="240" w:lineRule="auto"/>
      </w:pPr>
    </w:p>
  </w:footnote>
  <w:footnote w:id="2">
    <w:p w14:paraId="42C2496D" w14:textId="77777777" w:rsidR="00FD4F31" w:rsidRDefault="00FD4F31" w:rsidP="00FD4F31">
      <w:pPr>
        <w:pStyle w:val="FootnoteText"/>
      </w:pPr>
      <w:r>
        <w:rPr>
          <w:rStyle w:val="FootnoteReference"/>
        </w:rPr>
        <w:footnoteRef/>
      </w:r>
      <w:r>
        <w:t xml:space="preserve"> Full web link to Council’s Child Safe Standards: </w:t>
      </w:r>
      <w:hyperlink r:id="rId1" w:history="1">
        <w:r w:rsidRPr="00B13F9C">
          <w:rPr>
            <w:rStyle w:val="Hyperlink"/>
          </w:rPr>
          <w:t>http://www.portphillip.vic.gov.au/child-safe-standards.htm</w:t>
        </w:r>
      </w:hyperlink>
    </w:p>
    <w:p w14:paraId="3287C11A" w14:textId="77777777" w:rsidR="00FD4F31" w:rsidRDefault="00FD4F31"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C52278" w:rsidRDefault="000E359E"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0E359E" w:rsidRDefault="000E359E"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2605929"/>
    <w:multiLevelType w:val="hybridMultilevel"/>
    <w:tmpl w:val="F0CC4F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345864"/>
    <w:multiLevelType w:val="hybridMultilevel"/>
    <w:tmpl w:val="6944E2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0BB09F5"/>
    <w:multiLevelType w:val="hybridMultilevel"/>
    <w:tmpl w:val="53100E10"/>
    <w:lvl w:ilvl="0" w:tplc="C0E224EA">
      <w:numFmt w:val="bullet"/>
      <w:pStyle w:val="ListParagraph"/>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2826A3"/>
    <w:multiLevelType w:val="multilevel"/>
    <w:tmpl w:val="072CA60C"/>
    <w:lvl w:ilvl="0">
      <w:start w:val="1"/>
      <w:numFmt w:val="bullet"/>
      <w:lvlText w:val=""/>
      <w:lvlJc w:val="left"/>
      <w:pPr>
        <w:ind w:left="720" w:hanging="360"/>
      </w:pPr>
      <w:rPr>
        <w:rFonts w:ascii="Symbol" w:hAnsi="Symbol" w:hint="default"/>
        <w:b w:val="0"/>
        <w:w w:val="100"/>
      </w:rPr>
    </w:lvl>
    <w:lvl w:ilvl="1">
      <w:numFmt w:val="bullet"/>
      <w:lvlText w:val="o"/>
      <w:lvlJc w:val="left"/>
      <w:pPr>
        <w:ind w:left="1440" w:hanging="360"/>
      </w:pPr>
      <w:rPr>
        <w:rFonts w:ascii="Courier New" w:hAnsi="Courier New"/>
        <w:b w:val="0"/>
        <w:w w:val="99"/>
        <w:sz w:val="20"/>
      </w:rPr>
    </w:lvl>
    <w:lvl w:ilvl="2">
      <w:numFmt w:val="bullet"/>
      <w:lvlText w:val="•"/>
      <w:lvlJc w:val="left"/>
      <w:pPr>
        <w:ind w:left="2403" w:hanging="360"/>
      </w:pPr>
    </w:lvl>
    <w:lvl w:ilvl="3">
      <w:numFmt w:val="bullet"/>
      <w:lvlText w:val="•"/>
      <w:lvlJc w:val="left"/>
      <w:pPr>
        <w:ind w:left="3359" w:hanging="360"/>
      </w:pPr>
    </w:lvl>
    <w:lvl w:ilvl="4">
      <w:numFmt w:val="bullet"/>
      <w:lvlText w:val="•"/>
      <w:lvlJc w:val="left"/>
      <w:pPr>
        <w:ind w:left="4315" w:hanging="360"/>
      </w:pPr>
    </w:lvl>
    <w:lvl w:ilvl="5">
      <w:numFmt w:val="bullet"/>
      <w:lvlText w:val="•"/>
      <w:lvlJc w:val="left"/>
      <w:pPr>
        <w:ind w:left="5272" w:hanging="360"/>
      </w:pPr>
    </w:lvl>
    <w:lvl w:ilvl="6">
      <w:numFmt w:val="bullet"/>
      <w:lvlText w:val="•"/>
      <w:lvlJc w:val="left"/>
      <w:pPr>
        <w:ind w:left="6228" w:hanging="360"/>
      </w:pPr>
    </w:lvl>
    <w:lvl w:ilvl="7">
      <w:numFmt w:val="bullet"/>
      <w:lvlText w:val="•"/>
      <w:lvlJc w:val="left"/>
      <w:pPr>
        <w:ind w:left="7184" w:hanging="360"/>
      </w:pPr>
    </w:lvl>
    <w:lvl w:ilvl="8">
      <w:numFmt w:val="bullet"/>
      <w:lvlText w:val="•"/>
      <w:lvlJc w:val="left"/>
      <w:pPr>
        <w:ind w:left="8140" w:hanging="360"/>
      </w:pPr>
    </w:lvl>
  </w:abstractNum>
  <w:abstractNum w:abstractNumId="8"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94412B"/>
    <w:multiLevelType w:val="hybridMultilevel"/>
    <w:tmpl w:val="7C16E270"/>
    <w:lvl w:ilvl="0" w:tplc="8034C92E">
      <w:start w:val="1"/>
      <w:numFmt w:val="bullet"/>
      <w:lvlText w:val=""/>
      <w:lvlJc w:val="left"/>
      <w:pPr>
        <w:ind w:left="720" w:hanging="360"/>
      </w:pPr>
      <w:rPr>
        <w:rFonts w:ascii="Symbol" w:hAnsi="Symbol" w:hint="default"/>
      </w:rPr>
    </w:lvl>
    <w:lvl w:ilvl="1" w:tplc="E6C0173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212AF"/>
    <w:multiLevelType w:val="hybridMultilevel"/>
    <w:tmpl w:val="0E7C314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71542F6"/>
    <w:multiLevelType w:val="multilevel"/>
    <w:tmpl w:val="3856BA1E"/>
    <w:lvl w:ilvl="0">
      <w:start w:val="1"/>
      <w:numFmt w:val="bullet"/>
      <w:lvlText w:val=""/>
      <w:lvlJc w:val="left"/>
      <w:pPr>
        <w:ind w:left="692" w:hanging="360"/>
      </w:pPr>
      <w:rPr>
        <w:rFonts w:ascii="Symbol" w:hAnsi="Symbol" w:hint="default"/>
        <w:b w:val="0"/>
        <w:w w:val="100"/>
      </w:rPr>
    </w:lvl>
    <w:lvl w:ilvl="1">
      <w:numFmt w:val="bullet"/>
      <w:lvlText w:val="o"/>
      <w:lvlJc w:val="left"/>
      <w:pPr>
        <w:ind w:left="1412" w:hanging="360"/>
      </w:pPr>
      <w:rPr>
        <w:rFonts w:ascii="Courier New" w:hAnsi="Courier New"/>
        <w:b w:val="0"/>
        <w:w w:val="99"/>
        <w:sz w:val="20"/>
      </w:rPr>
    </w:lvl>
    <w:lvl w:ilvl="2">
      <w:numFmt w:val="bullet"/>
      <w:lvlText w:val="•"/>
      <w:lvlJc w:val="left"/>
      <w:pPr>
        <w:ind w:left="2375" w:hanging="360"/>
      </w:pPr>
    </w:lvl>
    <w:lvl w:ilvl="3">
      <w:numFmt w:val="bullet"/>
      <w:lvlText w:val="•"/>
      <w:lvlJc w:val="left"/>
      <w:pPr>
        <w:ind w:left="3331" w:hanging="360"/>
      </w:pPr>
    </w:lvl>
    <w:lvl w:ilvl="4">
      <w:numFmt w:val="bullet"/>
      <w:lvlText w:val="•"/>
      <w:lvlJc w:val="left"/>
      <w:pPr>
        <w:ind w:left="4287" w:hanging="360"/>
      </w:pPr>
    </w:lvl>
    <w:lvl w:ilvl="5">
      <w:numFmt w:val="bullet"/>
      <w:lvlText w:val="•"/>
      <w:lvlJc w:val="left"/>
      <w:pPr>
        <w:ind w:left="5244" w:hanging="360"/>
      </w:pPr>
    </w:lvl>
    <w:lvl w:ilvl="6">
      <w:numFmt w:val="bullet"/>
      <w:lvlText w:val="•"/>
      <w:lvlJc w:val="left"/>
      <w:pPr>
        <w:ind w:left="6200" w:hanging="360"/>
      </w:pPr>
    </w:lvl>
    <w:lvl w:ilvl="7">
      <w:numFmt w:val="bullet"/>
      <w:lvlText w:val="•"/>
      <w:lvlJc w:val="left"/>
      <w:pPr>
        <w:ind w:left="7156" w:hanging="360"/>
      </w:pPr>
    </w:lvl>
    <w:lvl w:ilvl="8">
      <w:numFmt w:val="bullet"/>
      <w:lvlText w:val="•"/>
      <w:lvlJc w:val="left"/>
      <w:pPr>
        <w:ind w:left="8112" w:hanging="360"/>
      </w:pPr>
    </w:lvl>
  </w:abstractNum>
  <w:abstractNum w:abstractNumId="12"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3"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2"/>
  </w:num>
  <w:num w:numId="4">
    <w:abstractNumId w:val="13"/>
  </w:num>
  <w:num w:numId="5">
    <w:abstractNumId w:val="0"/>
  </w:num>
  <w:num w:numId="6">
    <w:abstractNumId w:val="8"/>
  </w:num>
  <w:num w:numId="7">
    <w:abstractNumId w:val="3"/>
  </w:num>
  <w:num w:numId="8">
    <w:abstractNumId w:val="10"/>
  </w:num>
  <w:num w:numId="9">
    <w:abstractNumId w:val="9"/>
  </w:num>
  <w:num w:numId="10">
    <w:abstractNumId w:val="5"/>
  </w:num>
  <w:num w:numId="11">
    <w:abstractNumId w:val="7"/>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32E27"/>
    <w:rsid w:val="0007177F"/>
    <w:rsid w:val="00074D1B"/>
    <w:rsid w:val="000D64C0"/>
    <w:rsid w:val="000E359E"/>
    <w:rsid w:val="000E67E3"/>
    <w:rsid w:val="00100A51"/>
    <w:rsid w:val="00112E82"/>
    <w:rsid w:val="0011519C"/>
    <w:rsid w:val="00117EE4"/>
    <w:rsid w:val="0014392C"/>
    <w:rsid w:val="001A1338"/>
    <w:rsid w:val="001D3172"/>
    <w:rsid w:val="001E7D84"/>
    <w:rsid w:val="001F2780"/>
    <w:rsid w:val="001F6F66"/>
    <w:rsid w:val="00203EB5"/>
    <w:rsid w:val="002070F5"/>
    <w:rsid w:val="002135B1"/>
    <w:rsid w:val="0021745B"/>
    <w:rsid w:val="002618B7"/>
    <w:rsid w:val="00262255"/>
    <w:rsid w:val="0026397D"/>
    <w:rsid w:val="002835CE"/>
    <w:rsid w:val="002A2D6A"/>
    <w:rsid w:val="002A38C8"/>
    <w:rsid w:val="002C4411"/>
    <w:rsid w:val="002D35F3"/>
    <w:rsid w:val="002E2E8F"/>
    <w:rsid w:val="002F1122"/>
    <w:rsid w:val="00347129"/>
    <w:rsid w:val="003662C1"/>
    <w:rsid w:val="003814FB"/>
    <w:rsid w:val="003A4A24"/>
    <w:rsid w:val="003C5789"/>
    <w:rsid w:val="003E382A"/>
    <w:rsid w:val="003E4196"/>
    <w:rsid w:val="003E4979"/>
    <w:rsid w:val="003F1591"/>
    <w:rsid w:val="004013AD"/>
    <w:rsid w:val="00402CD8"/>
    <w:rsid w:val="00414DCD"/>
    <w:rsid w:val="004201F9"/>
    <w:rsid w:val="00427E07"/>
    <w:rsid w:val="00441ABB"/>
    <w:rsid w:val="0044483A"/>
    <w:rsid w:val="0045257E"/>
    <w:rsid w:val="00453C26"/>
    <w:rsid w:val="0046199A"/>
    <w:rsid w:val="00465F07"/>
    <w:rsid w:val="0046605B"/>
    <w:rsid w:val="004D04F4"/>
    <w:rsid w:val="00522EA3"/>
    <w:rsid w:val="0054411A"/>
    <w:rsid w:val="0054748F"/>
    <w:rsid w:val="005548C1"/>
    <w:rsid w:val="00555212"/>
    <w:rsid w:val="00556069"/>
    <w:rsid w:val="005562D0"/>
    <w:rsid w:val="00560EF0"/>
    <w:rsid w:val="005D1894"/>
    <w:rsid w:val="00600F9C"/>
    <w:rsid w:val="006036A7"/>
    <w:rsid w:val="006269FE"/>
    <w:rsid w:val="006344AD"/>
    <w:rsid w:val="006359CE"/>
    <w:rsid w:val="00656265"/>
    <w:rsid w:val="00656F41"/>
    <w:rsid w:val="00663BDC"/>
    <w:rsid w:val="00672437"/>
    <w:rsid w:val="00681D97"/>
    <w:rsid w:val="00695739"/>
    <w:rsid w:val="006B570D"/>
    <w:rsid w:val="006B78F8"/>
    <w:rsid w:val="006C66FE"/>
    <w:rsid w:val="006D52E7"/>
    <w:rsid w:val="006F3BAB"/>
    <w:rsid w:val="006F5427"/>
    <w:rsid w:val="006F78D0"/>
    <w:rsid w:val="0070192B"/>
    <w:rsid w:val="00742FEA"/>
    <w:rsid w:val="007447CD"/>
    <w:rsid w:val="007A019C"/>
    <w:rsid w:val="007A3871"/>
    <w:rsid w:val="007A3FE7"/>
    <w:rsid w:val="007A640F"/>
    <w:rsid w:val="007C4AD7"/>
    <w:rsid w:val="007F5EF9"/>
    <w:rsid w:val="007F6187"/>
    <w:rsid w:val="00800773"/>
    <w:rsid w:val="008369A5"/>
    <w:rsid w:val="00865615"/>
    <w:rsid w:val="00870383"/>
    <w:rsid w:val="00876819"/>
    <w:rsid w:val="008807B7"/>
    <w:rsid w:val="00891AF6"/>
    <w:rsid w:val="00891B28"/>
    <w:rsid w:val="008A0D49"/>
    <w:rsid w:val="008A1F85"/>
    <w:rsid w:val="008A304C"/>
    <w:rsid w:val="008F32FA"/>
    <w:rsid w:val="009217B8"/>
    <w:rsid w:val="009251C2"/>
    <w:rsid w:val="00946CA6"/>
    <w:rsid w:val="00953923"/>
    <w:rsid w:val="00964956"/>
    <w:rsid w:val="00971FE5"/>
    <w:rsid w:val="00993001"/>
    <w:rsid w:val="0099794F"/>
    <w:rsid w:val="009D49A6"/>
    <w:rsid w:val="009E4C42"/>
    <w:rsid w:val="009F78F7"/>
    <w:rsid w:val="00A01C63"/>
    <w:rsid w:val="00A23726"/>
    <w:rsid w:val="00A51265"/>
    <w:rsid w:val="00A652AE"/>
    <w:rsid w:val="00A65310"/>
    <w:rsid w:val="00A65E65"/>
    <w:rsid w:val="00A70DC3"/>
    <w:rsid w:val="00A86131"/>
    <w:rsid w:val="00A95964"/>
    <w:rsid w:val="00A97D58"/>
    <w:rsid w:val="00AA5B67"/>
    <w:rsid w:val="00AB1F9E"/>
    <w:rsid w:val="00AB2E8A"/>
    <w:rsid w:val="00AD4765"/>
    <w:rsid w:val="00AE4A2F"/>
    <w:rsid w:val="00B0260B"/>
    <w:rsid w:val="00B11BCB"/>
    <w:rsid w:val="00B20D98"/>
    <w:rsid w:val="00B45B27"/>
    <w:rsid w:val="00B601C1"/>
    <w:rsid w:val="00B61A84"/>
    <w:rsid w:val="00B73595"/>
    <w:rsid w:val="00BB4694"/>
    <w:rsid w:val="00BF56EF"/>
    <w:rsid w:val="00C134D5"/>
    <w:rsid w:val="00C14315"/>
    <w:rsid w:val="00C25711"/>
    <w:rsid w:val="00C52278"/>
    <w:rsid w:val="00CB6D4B"/>
    <w:rsid w:val="00CF3399"/>
    <w:rsid w:val="00D00834"/>
    <w:rsid w:val="00D05074"/>
    <w:rsid w:val="00D07E9D"/>
    <w:rsid w:val="00D327D7"/>
    <w:rsid w:val="00D46AC6"/>
    <w:rsid w:val="00D65309"/>
    <w:rsid w:val="00D750EF"/>
    <w:rsid w:val="00DF181C"/>
    <w:rsid w:val="00DF263D"/>
    <w:rsid w:val="00DF6B31"/>
    <w:rsid w:val="00E03B32"/>
    <w:rsid w:val="00E03C67"/>
    <w:rsid w:val="00E2513D"/>
    <w:rsid w:val="00E33FE2"/>
    <w:rsid w:val="00E431BC"/>
    <w:rsid w:val="00E547FB"/>
    <w:rsid w:val="00E5753B"/>
    <w:rsid w:val="00E708F7"/>
    <w:rsid w:val="00EB46A5"/>
    <w:rsid w:val="00EC66ED"/>
    <w:rsid w:val="00EE6F20"/>
    <w:rsid w:val="00F0547F"/>
    <w:rsid w:val="00F23A27"/>
    <w:rsid w:val="00F31366"/>
    <w:rsid w:val="00F33395"/>
    <w:rsid w:val="00F51F77"/>
    <w:rsid w:val="00F544CE"/>
    <w:rsid w:val="00F6081B"/>
    <w:rsid w:val="00F7180C"/>
    <w:rsid w:val="00F83854"/>
    <w:rsid w:val="00F957EA"/>
    <w:rsid w:val="00FC2EBB"/>
    <w:rsid w:val="00FD4F31"/>
    <w:rsid w:val="00FE070F"/>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D1894"/>
    <w:pPr>
      <w:spacing w:line="288" w:lineRule="auto"/>
    </w:pPr>
    <w:rPr>
      <w:rFonts w:ascii="Arial" w:hAnsi="Arial" w:cs="Arial"/>
      <w:color w:val="000000" w:themeColor="text1"/>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E03C67"/>
    <w:pPr>
      <w:keepNext/>
      <w:keepLines/>
      <w:spacing w:before="240" w:after="6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44483A"/>
    <w:pPr>
      <w:keepNext/>
      <w:keepLines/>
      <w:spacing w:before="120" w:after="4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E03C67"/>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1"/>
    <w:qFormat/>
    <w:rsid w:val="0044483A"/>
    <w:pPr>
      <w:numPr>
        <w:numId w:val="7"/>
      </w:numPr>
      <w:spacing w:after="200"/>
      <w:contextualSpacing/>
    </w:pPr>
    <w:rPr>
      <w:rFonts w:cstheme="minorBidi"/>
      <w:szCs w:val="24"/>
    </w:rPr>
  </w:style>
  <w:style w:type="character" w:customStyle="1" w:styleId="Heading4Char">
    <w:name w:val="Heading 4 Char"/>
    <w:basedOn w:val="DefaultParagraphFont"/>
    <w:link w:val="Heading4"/>
    <w:uiPriority w:val="9"/>
    <w:rsid w:val="0044483A"/>
    <w:rPr>
      <w:rFonts w:ascii="Arial" w:eastAsiaTheme="majorEastAsia" w:hAnsi="Arial" w:cstheme="majorBidi"/>
      <w:b/>
      <w:iCs/>
      <w:color w:val="000000" w:themeColor="text1"/>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1"/>
    <w:rsid w:val="0044483A"/>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TITLE1">
    <w:name w:val="TITLE1"/>
    <w:basedOn w:val="Normal"/>
    <w:link w:val="TITLE1Char"/>
    <w:qFormat/>
    <w:rsid w:val="00BB4694"/>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1Char">
    <w:name w:val="TITLE1 Char"/>
    <w:basedOn w:val="DefaultParagraphFont"/>
    <w:link w:val="TITLE1"/>
    <w:rsid w:val="00BB4694"/>
    <w:rPr>
      <w:rFonts w:ascii="Arial" w:eastAsia="Times New Roman" w:hAnsi="Arial" w:cs="Arial"/>
      <w:b/>
      <w:noProof/>
      <w:color w:val="0090A3"/>
      <w:sz w:val="80"/>
      <w:szCs w:val="80"/>
      <w:lang w:eastAsia="en-AU"/>
    </w:rPr>
  </w:style>
  <w:style w:type="paragraph" w:customStyle="1" w:styleId="Title2">
    <w:name w:val="Title 2"/>
    <w:basedOn w:val="Normal"/>
    <w:link w:val="Title2Char"/>
    <w:qFormat/>
    <w:rsid w:val="00BB4694"/>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Title2Char">
    <w:name w:val="Title 2 Char"/>
    <w:basedOn w:val="DefaultParagraphFont"/>
    <w:link w:val="Title2"/>
    <w:rsid w:val="00BB4694"/>
    <w:rPr>
      <w:rFonts w:ascii="Arial" w:eastAsia="Times New Roman" w:hAnsi="Arial" w:cs="Arial"/>
      <w:noProof/>
      <w:color w:val="000000" w:themeColor="text1"/>
      <w:sz w:val="40"/>
      <w:szCs w:val="40"/>
      <w:lang w:eastAsia="en-AU"/>
    </w:rPr>
  </w:style>
  <w:style w:type="paragraph" w:styleId="NormalWeb">
    <w:name w:val="Normal (Web)"/>
    <w:basedOn w:val="Normal"/>
    <w:uiPriority w:val="99"/>
    <w:unhideWhenUsed/>
    <w:rsid w:val="00BB4694"/>
    <w:pPr>
      <w:spacing w:before="100" w:beforeAutospacing="1" w:after="100" w:afterAutospacing="1" w:line="240" w:lineRule="auto"/>
    </w:pPr>
    <w:rPr>
      <w:rFonts w:ascii="Times New Roman" w:eastAsia="Times New Roman" w:hAnsi="Times New Roman" w:cs="Times New Roman"/>
      <w:color w:val="auto"/>
      <w:szCs w:val="24"/>
      <w:lang w:eastAsia="en-AU"/>
    </w:rPr>
  </w:style>
  <w:style w:type="paragraph" w:customStyle="1" w:styleId="NormalBullets">
    <w:name w:val="Normal Bullets"/>
    <w:basedOn w:val="Normal"/>
    <w:link w:val="NormalBulletsChar"/>
    <w:qFormat/>
    <w:rsid w:val="00BB4694"/>
    <w:pPr>
      <w:numPr>
        <w:numId w:val="10"/>
      </w:numPr>
      <w:tabs>
        <w:tab w:val="right" w:pos="8931"/>
      </w:tabs>
      <w:spacing w:after="120" w:line="240" w:lineRule="auto"/>
    </w:pPr>
    <w:rPr>
      <w:rFonts w:eastAsia="Calibri"/>
      <w:noProof/>
      <w:color w:val="auto"/>
    </w:rPr>
  </w:style>
  <w:style w:type="character" w:customStyle="1" w:styleId="NormalBulletsChar">
    <w:name w:val="Normal Bullets Char"/>
    <w:basedOn w:val="DefaultParagraphFont"/>
    <w:link w:val="NormalBullets"/>
    <w:rsid w:val="00BB4694"/>
    <w:rPr>
      <w:rFonts w:ascii="Arial" w:eastAsia="Calibri" w:hAnsi="Arial" w:cs="Arial"/>
      <w:noProof/>
    </w:rPr>
  </w:style>
  <w:style w:type="character" w:styleId="UnresolvedMention">
    <w:name w:val="Unresolved Mention"/>
    <w:basedOn w:val="DefaultParagraphFont"/>
    <w:uiPriority w:val="99"/>
    <w:semiHidden/>
    <w:unhideWhenUsed/>
    <w:rsid w:val="00695739"/>
    <w:rPr>
      <w:color w:val="605E5C"/>
      <w:shd w:val="clear" w:color="auto" w:fill="E1DFDD"/>
    </w:rPr>
  </w:style>
  <w:style w:type="paragraph" w:customStyle="1" w:styleId="TableParagraph">
    <w:name w:val="Table Paragraph"/>
    <w:basedOn w:val="Normal"/>
    <w:uiPriority w:val="1"/>
    <w:qFormat/>
    <w:rsid w:val="007447CD"/>
    <w:pPr>
      <w:widowControl w:val="0"/>
      <w:autoSpaceDE w:val="0"/>
      <w:autoSpaceDN w:val="0"/>
      <w:adjustRightInd w:val="0"/>
      <w:spacing w:after="0" w:line="240" w:lineRule="auto"/>
      <w:ind w:left="107"/>
    </w:pPr>
    <w:rPr>
      <w:rFonts w:eastAsiaTheme="minorEastAsia"/>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 TargetMode="External"/><Relationship Id="rId18" Type="http://schemas.openxmlformats.org/officeDocument/2006/relationships/hyperlink" Target="http://intranet.portphillip.vic.gov.au/child-safe-standards.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rants@portphillip.vic.gov.au" TargetMode="External"/><Relationship Id="rId7" Type="http://schemas.openxmlformats.org/officeDocument/2006/relationships/settings" Target="settings.xml"/><Relationship Id="rId12" Type="http://schemas.openxmlformats.org/officeDocument/2006/relationships/hyperlink" Target="https://www.legislation.gov.au/Details/C2013C00040" TargetMode="External"/><Relationship Id="rId17" Type="http://schemas.openxmlformats.org/officeDocument/2006/relationships/hyperlink" Target="mailto:Kelly.armstrong@portphillip.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rybooking.com/BPXMB" TargetMode="External"/><Relationship Id="rId20" Type="http://schemas.openxmlformats.org/officeDocument/2006/relationships/hyperlink" Target="mailto:Lisa.Paton@portphillip.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phillip.vic.gov.au/community-funding-policy.htm" TargetMode="External"/><Relationship Id="rId24" Type="http://schemas.openxmlformats.org/officeDocument/2006/relationships/hyperlink" Target="https://portphillip.smartygrants.com.au/" TargetMode="External"/><Relationship Id="rId5" Type="http://schemas.openxmlformats.org/officeDocument/2006/relationships/numbering" Target="numbering.xml"/><Relationship Id="rId15" Type="http://schemas.openxmlformats.org/officeDocument/2006/relationships/hyperlink" Target="https://www.trybooking.com/BPXMB"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ortphillip.vic.gov.au/Dont-Waste-I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 TargetMode="External"/><Relationship Id="rId22"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ortphillip.vic.gov.au/child-safe-standard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2" ma:contentTypeDescription="Create a new document." ma:contentTypeScope="" ma:versionID="1bc36804c14a85482a4526173e82cb54">
  <xsd:schema xmlns:xsd="http://www.w3.org/2001/XMLSchema" xmlns:xs="http://www.w3.org/2001/XMLSchema" xmlns:p="http://schemas.microsoft.com/office/2006/metadata/properties" xmlns:ns3="19c1c49f-ccd7-4c7d-b5d3-da66acf58865" xmlns:ns4="d55f078b-2105-4098-a039-2a8c869eb822" targetNamespace="http://schemas.microsoft.com/office/2006/metadata/properties" ma:root="true" ma:fieldsID="3a6de0242ddc24bfffcf335f750530bb" ns3:_="" ns4:_="">
    <xsd:import namespace="19c1c49f-ccd7-4c7d-b5d3-da66acf58865"/>
    <xsd:import namespace="d55f078b-2105-4098-a039-2a8c869eb8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4028-DF65-4CA9-AC69-F5FF145F6DEA}">
  <ds:schemaRefs>
    <ds:schemaRef ds:uri="http://schemas.microsoft.com/sharepoint/v3/contenttype/forms"/>
  </ds:schemaRefs>
</ds:datastoreItem>
</file>

<file path=customXml/itemProps2.xml><?xml version="1.0" encoding="utf-8"?>
<ds:datastoreItem xmlns:ds="http://schemas.openxmlformats.org/officeDocument/2006/customXml" ds:itemID="{C893D546-D44E-4ACE-A222-A2BF3C1EB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880A1F-AA83-4C20-B304-B5259941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1c49f-ccd7-4c7d-b5d3-da66acf58865"/>
    <ds:schemaRef ds:uri="d55f078b-2105-4098-a039-2a8c869eb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B0923-DD9F-4542-87AC-698E5973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11</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2021-03-17T21:42:00Z</dcterms:created>
  <dcterms:modified xsi:type="dcterms:W3CDTF">2021-03-19T03:59:00Z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