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9D3E" w14:textId="77777777" w:rsidR="00F73AA2" w:rsidRDefault="00F73AA2" w:rsidP="003C2590">
      <w:pPr>
        <w:pStyle w:val="Meetingminutesheader"/>
        <w:jc w:val="center"/>
      </w:pPr>
    </w:p>
    <w:p w14:paraId="116E725E" w14:textId="434F8127" w:rsidR="003C2590" w:rsidRDefault="00D20BE3" w:rsidP="003C2590">
      <w:pPr>
        <w:pStyle w:val="Meetingminutesheader"/>
        <w:jc w:val="center"/>
      </w:pPr>
      <w:r>
        <w:t>Investment &amp; Treasury Management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F56CD1" w:rsidRPr="003C2590" w14:paraId="1026D568" w14:textId="77777777" w:rsidTr="00292216">
        <w:tc>
          <w:tcPr>
            <w:tcW w:w="2410" w:type="dxa"/>
          </w:tcPr>
          <w:p w14:paraId="608AC886" w14:textId="77777777" w:rsidR="00F56CD1" w:rsidRDefault="00F56CD1" w:rsidP="00292216">
            <w:pPr>
              <w:rPr>
                <w:rFonts w:ascii="Arial" w:hAnsi="Arial" w:cs="Arial"/>
                <w:sz w:val="20"/>
                <w:szCs w:val="20"/>
              </w:rPr>
            </w:pPr>
            <w:r>
              <w:rPr>
                <w:rFonts w:ascii="Arial" w:hAnsi="Arial" w:cs="Arial"/>
                <w:sz w:val="20"/>
                <w:szCs w:val="20"/>
              </w:rPr>
              <w:t>Policy outcome</w:t>
            </w:r>
          </w:p>
          <w:p w14:paraId="1EAE9CD8" w14:textId="620F36D0" w:rsidR="00F56CD1" w:rsidRPr="003C2590" w:rsidRDefault="00F56CD1" w:rsidP="00292216">
            <w:pPr>
              <w:rPr>
                <w:rFonts w:ascii="Arial" w:hAnsi="Arial" w:cs="Arial"/>
                <w:sz w:val="20"/>
                <w:szCs w:val="20"/>
              </w:rPr>
            </w:pPr>
          </w:p>
        </w:tc>
        <w:tc>
          <w:tcPr>
            <w:tcW w:w="7218" w:type="dxa"/>
          </w:tcPr>
          <w:p w14:paraId="1047DC70" w14:textId="03958337" w:rsidR="00ED41D5" w:rsidRPr="00804F30" w:rsidRDefault="00E70930" w:rsidP="00667694">
            <w:pPr>
              <w:rPr>
                <w:rFonts w:ascii="Arial" w:eastAsia="Arial" w:hAnsi="Arial" w:cs="Arial"/>
                <w:spacing w:val="-3"/>
              </w:rPr>
            </w:pPr>
            <w:r w:rsidRPr="00804F30">
              <w:rPr>
                <w:rFonts w:ascii="Arial" w:eastAsia="Arial" w:hAnsi="Arial" w:cs="Arial"/>
                <w:spacing w:val="-3"/>
              </w:rPr>
              <w:t>Investment returns are optimised as funds are placed at the most advantageous rate of interest available, w</w:t>
            </w:r>
            <w:r w:rsidR="007644C5" w:rsidRPr="00804F30">
              <w:rPr>
                <w:rFonts w:ascii="Arial" w:eastAsia="Arial" w:hAnsi="Arial" w:cs="Arial"/>
                <w:spacing w:val="-3"/>
              </w:rPr>
              <w:t>hile considering</w:t>
            </w:r>
            <w:r w:rsidRPr="00804F30">
              <w:rPr>
                <w:rFonts w:ascii="Arial" w:eastAsia="Arial" w:hAnsi="Arial" w:cs="Arial"/>
                <w:spacing w:val="-3"/>
              </w:rPr>
              <w:t xml:space="preserve"> the preservation of capital, liquidity, investment return target, and corporate social responsibility.</w:t>
            </w:r>
          </w:p>
          <w:p w14:paraId="2BC3C344" w14:textId="2531FA50" w:rsidR="00A673A2" w:rsidRPr="00515044" w:rsidRDefault="00A673A2" w:rsidP="00667694">
            <w:pPr>
              <w:rPr>
                <w:rFonts w:ascii="Arial" w:hAnsi="Arial" w:cs="Arial"/>
                <w:vanish/>
                <w:sz w:val="20"/>
                <w:szCs w:val="20"/>
              </w:rPr>
            </w:pPr>
          </w:p>
        </w:tc>
      </w:tr>
      <w:tr w:rsidR="003C2590" w:rsidRPr="003C2590" w14:paraId="17140B4F" w14:textId="77777777" w:rsidTr="00292216">
        <w:tc>
          <w:tcPr>
            <w:tcW w:w="2410" w:type="dxa"/>
          </w:tcPr>
          <w:p w14:paraId="7F5886AE" w14:textId="77777777" w:rsidR="003C2590" w:rsidRPr="003C2590" w:rsidRDefault="003C2590" w:rsidP="00292216">
            <w:pPr>
              <w:spacing w:after="160" w:line="259" w:lineRule="auto"/>
              <w:rPr>
                <w:rFonts w:ascii="Arial" w:hAnsi="Arial" w:cs="Arial"/>
                <w:sz w:val="20"/>
                <w:szCs w:val="20"/>
              </w:rPr>
            </w:pPr>
            <w:r w:rsidRPr="003C2590">
              <w:rPr>
                <w:rFonts w:ascii="Arial" w:hAnsi="Arial" w:cs="Arial"/>
                <w:sz w:val="20"/>
                <w:szCs w:val="20"/>
              </w:rPr>
              <w:t>Responsible area</w:t>
            </w:r>
          </w:p>
        </w:tc>
        <w:tc>
          <w:tcPr>
            <w:tcW w:w="7218" w:type="dxa"/>
          </w:tcPr>
          <w:p w14:paraId="501C8107" w14:textId="19D775BA" w:rsidR="003C2590" w:rsidRPr="00804F30" w:rsidRDefault="009E4CDB" w:rsidP="000307EA">
            <w:pPr>
              <w:rPr>
                <w:rFonts w:ascii="Arial" w:eastAsia="Arial" w:hAnsi="Arial" w:cs="Arial"/>
                <w:spacing w:val="-3"/>
              </w:rPr>
            </w:pPr>
            <w:r w:rsidRPr="00804F30">
              <w:rPr>
                <w:rFonts w:ascii="Arial" w:eastAsia="Arial" w:hAnsi="Arial" w:cs="Arial"/>
                <w:spacing w:val="-3"/>
              </w:rPr>
              <w:t>Financial Accounting team is responsible for the cash flow management, identification, and preparation of day-today investment decisions.</w:t>
            </w:r>
          </w:p>
          <w:p w14:paraId="0233C4DD" w14:textId="573C1303" w:rsidR="00A673A2" w:rsidRPr="00515044" w:rsidRDefault="00A673A2" w:rsidP="000307EA">
            <w:pPr>
              <w:rPr>
                <w:rFonts w:ascii="Arial" w:hAnsi="Arial" w:cs="Arial"/>
                <w:vanish/>
                <w:sz w:val="20"/>
                <w:szCs w:val="20"/>
              </w:rPr>
            </w:pPr>
          </w:p>
        </w:tc>
      </w:tr>
      <w:tr w:rsidR="003C2590" w:rsidRPr="003C2590" w14:paraId="494C57DC" w14:textId="77777777" w:rsidTr="00292216">
        <w:tc>
          <w:tcPr>
            <w:tcW w:w="2410" w:type="dxa"/>
          </w:tcPr>
          <w:p w14:paraId="770291F1" w14:textId="77777777" w:rsidR="003C2590" w:rsidRPr="003C2590" w:rsidRDefault="003C2590" w:rsidP="00292216">
            <w:pPr>
              <w:spacing w:after="160" w:line="259" w:lineRule="auto"/>
              <w:rPr>
                <w:rFonts w:ascii="Arial" w:hAnsi="Arial" w:cs="Arial"/>
                <w:sz w:val="20"/>
                <w:szCs w:val="20"/>
              </w:rPr>
            </w:pPr>
            <w:r w:rsidRPr="003C2590">
              <w:rPr>
                <w:rFonts w:ascii="Arial" w:hAnsi="Arial" w:cs="Arial"/>
                <w:sz w:val="20"/>
                <w:szCs w:val="20"/>
              </w:rPr>
              <w:t>Version</w:t>
            </w:r>
          </w:p>
        </w:tc>
        <w:tc>
          <w:tcPr>
            <w:tcW w:w="7218" w:type="dxa"/>
          </w:tcPr>
          <w:p w14:paraId="47621972" w14:textId="79CC2281" w:rsidR="003C2590" w:rsidRPr="00515044" w:rsidRDefault="00A673A2" w:rsidP="000307EA">
            <w:pPr>
              <w:rPr>
                <w:rFonts w:ascii="Arial" w:hAnsi="Arial" w:cs="Arial"/>
                <w:vanish/>
                <w:sz w:val="20"/>
                <w:szCs w:val="20"/>
              </w:rPr>
            </w:pPr>
            <w:r w:rsidRPr="00515044">
              <w:rPr>
                <w:rFonts w:ascii="Arial" w:hAnsi="Arial" w:cs="Arial"/>
                <w:vanish/>
                <w:sz w:val="20"/>
                <w:szCs w:val="20"/>
              </w:rPr>
              <w:t>1.1</w:t>
            </w:r>
          </w:p>
          <w:p w14:paraId="38A5BCE4" w14:textId="564D7286" w:rsidR="00A673A2" w:rsidRPr="00515044" w:rsidRDefault="00A673A2" w:rsidP="000307EA">
            <w:pPr>
              <w:rPr>
                <w:rFonts w:ascii="Arial" w:hAnsi="Arial" w:cs="Arial"/>
                <w:vanish/>
                <w:sz w:val="20"/>
                <w:szCs w:val="20"/>
              </w:rPr>
            </w:pPr>
          </w:p>
        </w:tc>
      </w:tr>
      <w:tr w:rsidR="003C2590" w:rsidRPr="003C2590" w14:paraId="213F7A68" w14:textId="77777777" w:rsidTr="00292216">
        <w:tc>
          <w:tcPr>
            <w:tcW w:w="2410" w:type="dxa"/>
          </w:tcPr>
          <w:p w14:paraId="10D37561" w14:textId="77777777" w:rsidR="003C2590" w:rsidRPr="003C2590" w:rsidRDefault="003C2590" w:rsidP="00292216">
            <w:pPr>
              <w:spacing w:after="160" w:line="259" w:lineRule="auto"/>
              <w:rPr>
                <w:rFonts w:ascii="Arial" w:hAnsi="Arial" w:cs="Arial"/>
                <w:sz w:val="20"/>
                <w:szCs w:val="20"/>
              </w:rPr>
            </w:pPr>
            <w:r w:rsidRPr="003C2590">
              <w:rPr>
                <w:rFonts w:ascii="Arial" w:hAnsi="Arial" w:cs="Arial"/>
                <w:sz w:val="20"/>
                <w:szCs w:val="20"/>
              </w:rPr>
              <w:t>Date approved/adopted</w:t>
            </w:r>
          </w:p>
        </w:tc>
        <w:tc>
          <w:tcPr>
            <w:tcW w:w="7218" w:type="dxa"/>
          </w:tcPr>
          <w:p w14:paraId="1B4AD7A4" w14:textId="40377FDD" w:rsidR="003C2590" w:rsidRPr="00515044" w:rsidRDefault="003C2590" w:rsidP="000307EA">
            <w:pPr>
              <w:rPr>
                <w:rFonts w:ascii="Arial" w:hAnsi="Arial" w:cs="Arial"/>
                <w:vanish/>
                <w:sz w:val="20"/>
                <w:szCs w:val="20"/>
                <w:highlight w:val="lightGray"/>
              </w:rPr>
            </w:pPr>
          </w:p>
        </w:tc>
      </w:tr>
      <w:tr w:rsidR="003C2590" w:rsidRPr="003C2590" w14:paraId="2A70E7C6" w14:textId="77777777" w:rsidTr="00292216">
        <w:tc>
          <w:tcPr>
            <w:tcW w:w="2410" w:type="dxa"/>
          </w:tcPr>
          <w:p w14:paraId="1B47BABB" w14:textId="7C3E0264" w:rsidR="003C2590" w:rsidRPr="003C2590" w:rsidRDefault="003C2590" w:rsidP="00292216">
            <w:pPr>
              <w:spacing w:after="160" w:line="259" w:lineRule="auto"/>
              <w:rPr>
                <w:rFonts w:ascii="Arial" w:hAnsi="Arial" w:cs="Arial"/>
                <w:sz w:val="20"/>
                <w:szCs w:val="20"/>
              </w:rPr>
            </w:pPr>
            <w:r w:rsidRPr="003C2590">
              <w:rPr>
                <w:rFonts w:ascii="Arial" w:hAnsi="Arial" w:cs="Arial"/>
                <w:sz w:val="20"/>
                <w:szCs w:val="20"/>
              </w:rPr>
              <w:t>Planned</w:t>
            </w:r>
            <w:r w:rsidR="00903622">
              <w:rPr>
                <w:rFonts w:ascii="Arial" w:hAnsi="Arial" w:cs="Arial"/>
                <w:sz w:val="20"/>
                <w:szCs w:val="20"/>
              </w:rPr>
              <w:t xml:space="preserve"> </w:t>
            </w:r>
            <w:r w:rsidRPr="003C2590">
              <w:rPr>
                <w:rFonts w:ascii="Arial" w:hAnsi="Arial" w:cs="Arial"/>
                <w:sz w:val="20"/>
                <w:szCs w:val="20"/>
              </w:rPr>
              <w:t>review date</w:t>
            </w:r>
          </w:p>
        </w:tc>
        <w:tc>
          <w:tcPr>
            <w:tcW w:w="7218" w:type="dxa"/>
          </w:tcPr>
          <w:p w14:paraId="29D34E55" w14:textId="51498F0B" w:rsidR="003C2590" w:rsidRPr="00515044" w:rsidRDefault="00804F30" w:rsidP="000307EA">
            <w:pPr>
              <w:rPr>
                <w:rFonts w:ascii="Arial" w:hAnsi="Arial" w:cs="Arial"/>
                <w:vanish/>
                <w:sz w:val="20"/>
                <w:szCs w:val="20"/>
                <w:highlight w:val="lightGray"/>
              </w:rPr>
            </w:pPr>
            <w:r>
              <w:rPr>
                <w:rFonts w:ascii="Arial" w:eastAsia="Arial" w:hAnsi="Arial" w:cs="Arial"/>
                <w:spacing w:val="-3"/>
              </w:rPr>
              <w:t>June</w:t>
            </w:r>
            <w:r w:rsidR="00A673A2" w:rsidRPr="00804F30">
              <w:rPr>
                <w:rFonts w:ascii="Arial" w:eastAsia="Arial" w:hAnsi="Arial" w:cs="Arial"/>
                <w:spacing w:val="-3"/>
              </w:rPr>
              <w:t xml:space="preserve"> 2026</w:t>
            </w:r>
          </w:p>
        </w:tc>
      </w:tr>
    </w:tbl>
    <w:p w14:paraId="1ADC1DA6" w14:textId="77777777" w:rsidR="00D5728F" w:rsidRPr="00D5728F" w:rsidRDefault="00D5728F" w:rsidP="003C2590">
      <w:pPr>
        <w:spacing w:before="240"/>
        <w:rPr>
          <w:rFonts w:ascii="Arial" w:hAnsi="Arial" w:cs="Arial"/>
          <w:sz w:val="20"/>
          <w:szCs w:val="20"/>
        </w:rPr>
      </w:pPr>
    </w:p>
    <w:p w14:paraId="5A272B6F" w14:textId="0DC8E0A3" w:rsidR="00903622" w:rsidRDefault="00BD6070" w:rsidP="00903622">
      <w:pPr>
        <w:pStyle w:val="Heading21"/>
        <w:numPr>
          <w:ilvl w:val="0"/>
          <w:numId w:val="2"/>
        </w:numPr>
      </w:pPr>
      <w:r>
        <w:t>P</w:t>
      </w:r>
      <w:r w:rsidR="00EA2409">
        <w:t>urpose</w:t>
      </w:r>
    </w:p>
    <w:p w14:paraId="5DD113E8" w14:textId="02738CA0" w:rsidR="00DE64EC" w:rsidRPr="00515044" w:rsidRDefault="00DE64EC" w:rsidP="00515044">
      <w:pPr>
        <w:ind w:left="360"/>
        <w:jc w:val="both"/>
        <w:rPr>
          <w:rFonts w:ascii="Arial" w:eastAsia="Arial" w:hAnsi="Arial" w:cs="Arial"/>
          <w:spacing w:val="-3"/>
        </w:rPr>
      </w:pPr>
      <w:r w:rsidRPr="00515044">
        <w:rPr>
          <w:rFonts w:ascii="Arial" w:eastAsia="Arial" w:hAnsi="Arial" w:cs="Arial"/>
          <w:spacing w:val="-3"/>
        </w:rPr>
        <w:t>The Council’s overall objective is to optimise investment returns by investing funds at the most advantageous rate of interest available at the time, for that investment type</w:t>
      </w:r>
      <w:r w:rsidR="00A47167">
        <w:rPr>
          <w:rFonts w:ascii="Arial" w:eastAsia="Arial" w:hAnsi="Arial" w:cs="Arial"/>
          <w:spacing w:val="-3"/>
        </w:rPr>
        <w:t>.</w:t>
      </w:r>
    </w:p>
    <w:p w14:paraId="1251F77A" w14:textId="7212DC1C" w:rsidR="00A673A2" w:rsidRPr="00515044" w:rsidRDefault="00A673A2" w:rsidP="00515044">
      <w:pPr>
        <w:spacing w:before="120"/>
        <w:ind w:firstLine="360"/>
        <w:jc w:val="both"/>
        <w:rPr>
          <w:rFonts w:ascii="Arial" w:eastAsia="Arial" w:hAnsi="Arial" w:cs="Arial"/>
          <w:spacing w:val="-3"/>
        </w:rPr>
      </w:pPr>
      <w:r w:rsidRPr="00515044">
        <w:rPr>
          <w:rFonts w:ascii="Arial" w:eastAsia="Arial" w:hAnsi="Arial" w:cs="Arial"/>
          <w:spacing w:val="-3"/>
        </w:rPr>
        <w:t>This policy ensures that:</w:t>
      </w:r>
    </w:p>
    <w:p w14:paraId="6D8FC0C2" w14:textId="77777777" w:rsidR="00A673A2" w:rsidRPr="00515044" w:rsidRDefault="00A673A2" w:rsidP="00515044">
      <w:pPr>
        <w:pStyle w:val="ListParagraph"/>
        <w:numPr>
          <w:ilvl w:val="0"/>
          <w:numId w:val="3"/>
        </w:numPr>
        <w:tabs>
          <w:tab w:val="left" w:pos="-3060"/>
          <w:tab w:val="left" w:pos="-2340"/>
          <w:tab w:val="left" w:pos="6300"/>
        </w:tabs>
        <w:suppressAutoHyphens/>
        <w:spacing w:before="120" w:after="120" w:line="288" w:lineRule="auto"/>
        <w:jc w:val="both"/>
        <w:rPr>
          <w:rFonts w:ascii="Arial" w:eastAsia="Arial" w:hAnsi="Arial" w:cs="Arial"/>
          <w:spacing w:val="-3"/>
        </w:rPr>
      </w:pPr>
      <w:r w:rsidRPr="00515044">
        <w:rPr>
          <w:rFonts w:ascii="Arial" w:eastAsia="Arial" w:hAnsi="Arial" w:cs="Arial"/>
          <w:spacing w:val="-3"/>
        </w:rPr>
        <w:t>Responsible Council officers invest surplus funds with approved financial institutions.</w:t>
      </w:r>
    </w:p>
    <w:p w14:paraId="3EE2D095" w14:textId="77777777" w:rsidR="00A673A2" w:rsidRPr="00515044" w:rsidRDefault="00A673A2" w:rsidP="00515044">
      <w:pPr>
        <w:pStyle w:val="ListParagraph"/>
        <w:numPr>
          <w:ilvl w:val="0"/>
          <w:numId w:val="3"/>
        </w:numPr>
        <w:tabs>
          <w:tab w:val="left" w:pos="-3060"/>
          <w:tab w:val="left" w:pos="-2340"/>
          <w:tab w:val="left" w:pos="6300"/>
        </w:tabs>
        <w:suppressAutoHyphens/>
        <w:spacing w:before="120" w:after="120" w:line="288" w:lineRule="auto"/>
        <w:jc w:val="both"/>
        <w:rPr>
          <w:rFonts w:ascii="Arial" w:eastAsia="Arial" w:hAnsi="Arial" w:cs="Arial"/>
          <w:spacing w:val="-3"/>
        </w:rPr>
      </w:pPr>
      <w:r w:rsidRPr="00515044">
        <w:rPr>
          <w:rFonts w:ascii="Arial" w:eastAsia="Arial" w:hAnsi="Arial" w:cs="Arial"/>
          <w:spacing w:val="-3"/>
        </w:rPr>
        <w:t>All funds are invested in accordance with legislative and Council requirements.</w:t>
      </w:r>
    </w:p>
    <w:p w14:paraId="1E68B295" w14:textId="77777777" w:rsidR="00A673A2" w:rsidRPr="00515044" w:rsidRDefault="00A673A2" w:rsidP="00515044">
      <w:pPr>
        <w:pStyle w:val="ListParagraph"/>
        <w:numPr>
          <w:ilvl w:val="0"/>
          <w:numId w:val="3"/>
        </w:numPr>
        <w:tabs>
          <w:tab w:val="left" w:pos="-3060"/>
          <w:tab w:val="left" w:pos="-2340"/>
          <w:tab w:val="left" w:pos="6300"/>
        </w:tabs>
        <w:suppressAutoHyphens/>
        <w:spacing w:before="120" w:after="120" w:line="288" w:lineRule="auto"/>
        <w:jc w:val="both"/>
        <w:rPr>
          <w:rFonts w:ascii="Arial" w:eastAsia="Arial" w:hAnsi="Arial" w:cs="Arial"/>
          <w:spacing w:val="-3"/>
        </w:rPr>
      </w:pPr>
      <w:r w:rsidRPr="00515044">
        <w:rPr>
          <w:rFonts w:ascii="Arial" w:eastAsia="Arial" w:hAnsi="Arial" w:cs="Arial"/>
          <w:spacing w:val="-3"/>
        </w:rPr>
        <w:t>All investment transactions are appropriately authorised and documented.</w:t>
      </w:r>
    </w:p>
    <w:p w14:paraId="3197B86D" w14:textId="26F42742" w:rsidR="00A673A2" w:rsidRPr="00515044" w:rsidRDefault="00A673A2" w:rsidP="00515044">
      <w:pPr>
        <w:pStyle w:val="ListParagraph"/>
        <w:numPr>
          <w:ilvl w:val="0"/>
          <w:numId w:val="3"/>
        </w:numPr>
        <w:tabs>
          <w:tab w:val="left" w:pos="-3060"/>
          <w:tab w:val="left" w:pos="-2340"/>
          <w:tab w:val="left" w:pos="6300"/>
        </w:tabs>
        <w:suppressAutoHyphens/>
        <w:spacing w:before="120" w:after="120" w:line="288" w:lineRule="auto"/>
        <w:jc w:val="both"/>
        <w:rPr>
          <w:rFonts w:ascii="Arial" w:eastAsia="Arial" w:hAnsi="Arial" w:cs="Arial"/>
          <w:spacing w:val="-3"/>
        </w:rPr>
      </w:pPr>
      <w:r w:rsidRPr="00515044">
        <w:rPr>
          <w:rFonts w:ascii="Arial" w:eastAsia="Arial" w:hAnsi="Arial" w:cs="Arial"/>
          <w:spacing w:val="-3"/>
        </w:rPr>
        <w:t>Reporting requirements are clearly state</w:t>
      </w:r>
      <w:r w:rsidR="00F9600E">
        <w:rPr>
          <w:rFonts w:ascii="Arial" w:eastAsia="Arial" w:hAnsi="Arial" w:cs="Arial"/>
          <w:spacing w:val="-3"/>
        </w:rPr>
        <w:t>d.</w:t>
      </w:r>
    </w:p>
    <w:p w14:paraId="248AED37" w14:textId="77777777" w:rsidR="00A673A2" w:rsidRDefault="00A673A2">
      <w:pPr>
        <w:pStyle w:val="ListParagraph"/>
        <w:numPr>
          <w:ilvl w:val="0"/>
          <w:numId w:val="3"/>
        </w:numPr>
        <w:tabs>
          <w:tab w:val="left" w:pos="-3060"/>
          <w:tab w:val="left" w:pos="-2340"/>
          <w:tab w:val="left" w:pos="6300"/>
        </w:tabs>
        <w:suppressAutoHyphens/>
        <w:spacing w:before="120" w:after="120" w:line="288" w:lineRule="auto"/>
        <w:jc w:val="both"/>
        <w:rPr>
          <w:rFonts w:ascii="Arial" w:eastAsia="Arial" w:hAnsi="Arial" w:cs="Arial"/>
          <w:spacing w:val="-3"/>
        </w:rPr>
      </w:pPr>
      <w:r w:rsidRPr="00515044">
        <w:rPr>
          <w:rFonts w:ascii="Arial" w:eastAsia="Arial" w:hAnsi="Arial" w:cs="Arial"/>
          <w:spacing w:val="-3"/>
        </w:rPr>
        <w:t xml:space="preserve">Effective internal controls are in place to minimise investment risk and unauthorised appropriation of Council funds. </w:t>
      </w:r>
    </w:p>
    <w:p w14:paraId="3A14D9FC" w14:textId="316E759A" w:rsidR="00B20798" w:rsidRDefault="0005781B" w:rsidP="00B20798">
      <w:pPr>
        <w:pStyle w:val="ListParagraph"/>
        <w:numPr>
          <w:ilvl w:val="0"/>
          <w:numId w:val="3"/>
        </w:numPr>
        <w:tabs>
          <w:tab w:val="left" w:pos="-3060"/>
          <w:tab w:val="left" w:pos="-2340"/>
          <w:tab w:val="left" w:pos="6300"/>
        </w:tabs>
        <w:suppressAutoHyphens/>
        <w:spacing w:before="120" w:after="120" w:line="288" w:lineRule="auto"/>
        <w:jc w:val="both"/>
        <w:rPr>
          <w:rFonts w:ascii="Arial" w:eastAsia="Arial" w:hAnsi="Arial" w:cs="Arial"/>
          <w:spacing w:val="-3"/>
        </w:rPr>
      </w:pPr>
      <w:r>
        <w:rPr>
          <w:rFonts w:ascii="Arial" w:eastAsia="Arial" w:hAnsi="Arial" w:cs="Arial"/>
          <w:spacing w:val="-3"/>
        </w:rPr>
        <w:t>Investments are timed to ensure s</w:t>
      </w:r>
      <w:r w:rsidR="00F9600E">
        <w:rPr>
          <w:rFonts w:ascii="Arial" w:eastAsia="Arial" w:hAnsi="Arial" w:cs="Arial"/>
          <w:spacing w:val="-3"/>
        </w:rPr>
        <w:t xml:space="preserve">ufficient funds are </w:t>
      </w:r>
      <w:r w:rsidR="00B20798">
        <w:rPr>
          <w:rFonts w:ascii="Arial" w:eastAsia="Arial" w:hAnsi="Arial" w:cs="Arial"/>
          <w:spacing w:val="-3"/>
        </w:rPr>
        <w:t xml:space="preserve">available </w:t>
      </w:r>
      <w:r w:rsidR="00F9600E">
        <w:rPr>
          <w:rFonts w:ascii="Arial" w:eastAsia="Arial" w:hAnsi="Arial" w:cs="Arial"/>
          <w:spacing w:val="-3"/>
        </w:rPr>
        <w:t xml:space="preserve">to meet all operational </w:t>
      </w:r>
      <w:r w:rsidR="006B7A72">
        <w:rPr>
          <w:rFonts w:ascii="Arial" w:eastAsia="Arial" w:hAnsi="Arial" w:cs="Arial"/>
          <w:spacing w:val="-3"/>
        </w:rPr>
        <w:t>requirements.</w:t>
      </w:r>
    </w:p>
    <w:p w14:paraId="1A00BBBC" w14:textId="77777777" w:rsidR="000937B0" w:rsidRPr="00515044" w:rsidRDefault="000937B0" w:rsidP="00515044">
      <w:pPr>
        <w:pStyle w:val="Heading1"/>
        <w:ind w:firstLine="360"/>
        <w:rPr>
          <w:rFonts w:eastAsia="Arial"/>
          <w:color w:val="808080" w:themeColor="background1" w:themeShade="80"/>
          <w:spacing w:val="-3"/>
          <w:sz w:val="26"/>
          <w:szCs w:val="26"/>
        </w:rPr>
      </w:pPr>
      <w:r w:rsidRPr="00515044">
        <w:rPr>
          <w:rFonts w:ascii="Arial" w:eastAsia="Arial" w:hAnsi="Arial" w:cs="Arial"/>
          <w:color w:val="808080" w:themeColor="background1" w:themeShade="80"/>
          <w:spacing w:val="-3"/>
          <w:sz w:val="26"/>
          <w:szCs w:val="26"/>
        </w:rPr>
        <w:t xml:space="preserve">Risk Statement </w:t>
      </w:r>
    </w:p>
    <w:p w14:paraId="292EE09B" w14:textId="180FCDFC" w:rsidR="000937B0" w:rsidRPr="000937B0" w:rsidRDefault="000937B0" w:rsidP="00515044">
      <w:pPr>
        <w:pStyle w:val="ListParagraph"/>
        <w:ind w:left="360"/>
        <w:jc w:val="both"/>
        <w:rPr>
          <w:rFonts w:ascii="Arial" w:hAnsi="Arial" w:cs="Arial"/>
          <w:b/>
          <w:bCs/>
          <w:color w:val="164364"/>
          <w:kern w:val="32"/>
          <w:lang w:val="en-US"/>
        </w:rPr>
      </w:pPr>
      <w:r w:rsidRPr="000937B0">
        <w:rPr>
          <w:rFonts w:ascii="Arial" w:hAnsi="Arial" w:cs="Arial"/>
        </w:rPr>
        <w:t>As a government body responsible for the collection of public monies and the provision of services</w:t>
      </w:r>
      <w:r w:rsidR="00EE56D3">
        <w:rPr>
          <w:rFonts w:ascii="Arial" w:hAnsi="Arial" w:cs="Arial"/>
        </w:rPr>
        <w:t>,</w:t>
      </w:r>
      <w:r w:rsidRPr="000937B0">
        <w:rPr>
          <w:rFonts w:ascii="Arial" w:hAnsi="Arial" w:cs="Arial"/>
        </w:rPr>
        <w:t xml:space="preserve"> the City of Port Phillip must ensure that Council assets are protected on behalf of ratepayers and residents.  This policy has been developed to ensure the minimisation of risk associated with the investment of surplus funds and the management of cash.</w:t>
      </w:r>
    </w:p>
    <w:p w14:paraId="199E5C8B" w14:textId="394256D7" w:rsidR="00D5728F" w:rsidRPr="00515044" w:rsidRDefault="00D5728F" w:rsidP="00BB5DA8">
      <w:pPr>
        <w:rPr>
          <w:rFonts w:ascii="Arial" w:hAnsi="Arial" w:cs="Arial"/>
          <w:vanish/>
          <w:sz w:val="20"/>
          <w:szCs w:val="20"/>
        </w:rPr>
      </w:pPr>
    </w:p>
    <w:p w14:paraId="0E208351" w14:textId="5217F504" w:rsidR="00EA2409" w:rsidRDefault="00BD6070" w:rsidP="005A6EEC">
      <w:pPr>
        <w:pStyle w:val="Heading21"/>
        <w:numPr>
          <w:ilvl w:val="0"/>
          <w:numId w:val="2"/>
        </w:numPr>
      </w:pPr>
      <w:r>
        <w:t>S</w:t>
      </w:r>
      <w:r w:rsidR="00EA2409">
        <w:t>cope</w:t>
      </w:r>
      <w:r w:rsidR="005E1E6D">
        <w:t xml:space="preserve"> </w:t>
      </w:r>
    </w:p>
    <w:p w14:paraId="3572FD1E" w14:textId="77777777" w:rsidR="00A673A2" w:rsidRDefault="00A673A2">
      <w:pPr>
        <w:pStyle w:val="ListParagraph"/>
        <w:ind w:left="360"/>
        <w:rPr>
          <w:rFonts w:ascii="Arial" w:eastAsia="Arial" w:hAnsi="Arial" w:cs="Arial"/>
          <w:spacing w:val="-3"/>
        </w:rPr>
      </w:pPr>
      <w:r w:rsidRPr="00515044">
        <w:rPr>
          <w:rFonts w:ascii="Arial" w:eastAsia="Arial" w:hAnsi="Arial" w:cs="Arial"/>
          <w:spacing w:val="-3"/>
        </w:rPr>
        <w:t>This policy is applicable to all Council employees responsible for the investment and management of Council funds.</w:t>
      </w:r>
    </w:p>
    <w:p w14:paraId="009EE957" w14:textId="77777777" w:rsidR="009C005E" w:rsidRDefault="009C005E" w:rsidP="009C005E">
      <w:pPr>
        <w:pStyle w:val="ListParagraph"/>
        <w:ind w:left="360"/>
        <w:rPr>
          <w:rFonts w:ascii="Arial" w:eastAsia="Arial" w:hAnsi="Arial" w:cs="Arial"/>
          <w:spacing w:val="-3"/>
        </w:rPr>
      </w:pPr>
    </w:p>
    <w:p w14:paraId="739C0513" w14:textId="77777777" w:rsidR="009C005E" w:rsidRDefault="009C005E" w:rsidP="009C005E">
      <w:pPr>
        <w:pStyle w:val="ListParagraph"/>
        <w:ind w:left="360"/>
        <w:rPr>
          <w:rFonts w:ascii="Arial" w:eastAsia="Arial" w:hAnsi="Arial" w:cs="Arial"/>
          <w:spacing w:val="-3"/>
        </w:rPr>
      </w:pPr>
    </w:p>
    <w:p w14:paraId="4543B508" w14:textId="77777777" w:rsidR="009C005E" w:rsidRDefault="009C005E" w:rsidP="009C005E">
      <w:pPr>
        <w:pStyle w:val="ListParagraph"/>
        <w:ind w:left="360"/>
        <w:rPr>
          <w:rFonts w:ascii="Arial" w:eastAsia="Arial" w:hAnsi="Arial" w:cs="Arial"/>
          <w:spacing w:val="-3"/>
        </w:rPr>
      </w:pPr>
    </w:p>
    <w:p w14:paraId="3B42A6A4" w14:textId="4DF36251" w:rsidR="00FB34A2" w:rsidRDefault="00E70930" w:rsidP="005C5B3C">
      <w:pPr>
        <w:pStyle w:val="Heading21"/>
        <w:numPr>
          <w:ilvl w:val="0"/>
          <w:numId w:val="2"/>
        </w:numPr>
      </w:pPr>
      <w:r>
        <w:rPr>
          <w:rFonts w:eastAsia="Arial"/>
          <w:spacing w:val="-3"/>
        </w:rPr>
        <w:br w:type="page"/>
      </w:r>
      <w:r w:rsidR="00EA2409">
        <w:lastRenderedPageBreak/>
        <w:t xml:space="preserve">Policy </w:t>
      </w:r>
    </w:p>
    <w:p w14:paraId="300B3517" w14:textId="0D0F9C70" w:rsidR="00BB5DA8" w:rsidRPr="00515044" w:rsidRDefault="00BB5DA8" w:rsidP="00BB5DA8">
      <w:pPr>
        <w:pStyle w:val="ListParagraph"/>
        <w:ind w:left="360"/>
        <w:rPr>
          <w:rFonts w:ascii="Arial" w:hAnsi="Arial" w:cs="Arial"/>
          <w:vanish/>
          <w:sz w:val="20"/>
          <w:szCs w:val="20"/>
        </w:rPr>
      </w:pPr>
      <w:r w:rsidRPr="00515044">
        <w:rPr>
          <w:rFonts w:ascii="Arial" w:eastAsia="Arial" w:hAnsi="Arial" w:cs="Arial"/>
          <w:spacing w:val="-3"/>
        </w:rPr>
        <w:t xml:space="preserve">As custodians of public money this policy aims to balance the security of investments in times of economic downturn and global uncertainty, with interest earning potential and supporting environmentally and socially responsible investments in times of climate emergency. </w:t>
      </w:r>
      <w:r w:rsidRPr="00BB5DA8">
        <w:rPr>
          <w:rFonts w:ascii="Arial" w:eastAsia="Arial" w:hAnsi="Arial" w:cs="Arial"/>
          <w:spacing w:val="-3"/>
        </w:rPr>
        <w:t xml:space="preserve"> </w:t>
      </w:r>
    </w:p>
    <w:p w14:paraId="044DBE43" w14:textId="77777777" w:rsidR="00801B6C" w:rsidRDefault="00801B6C" w:rsidP="00801B6C">
      <w:pPr>
        <w:pStyle w:val="ListParagraph"/>
        <w:ind w:left="360"/>
        <w:jc w:val="both"/>
        <w:rPr>
          <w:rFonts w:ascii="Arial" w:eastAsia="Arial" w:hAnsi="Arial" w:cs="Arial"/>
          <w:spacing w:val="-3"/>
        </w:rPr>
      </w:pPr>
    </w:p>
    <w:p w14:paraId="13E321E6" w14:textId="1E5467AC" w:rsidR="0090508F" w:rsidRPr="0090508F" w:rsidRDefault="00801B6C" w:rsidP="00515044">
      <w:pPr>
        <w:pStyle w:val="ListParagraph"/>
        <w:ind w:left="360"/>
        <w:jc w:val="both"/>
        <w:rPr>
          <w:rFonts w:ascii="Arial" w:eastAsia="Arial" w:hAnsi="Arial" w:cs="Arial"/>
          <w:spacing w:val="-3"/>
        </w:rPr>
      </w:pPr>
      <w:r>
        <w:rPr>
          <w:rFonts w:ascii="Arial" w:eastAsia="Arial" w:hAnsi="Arial" w:cs="Arial"/>
          <w:spacing w:val="-3"/>
        </w:rPr>
        <w:t xml:space="preserve">The number one </w:t>
      </w:r>
      <w:r w:rsidR="00D1513D">
        <w:rPr>
          <w:rFonts w:ascii="Arial" w:eastAsia="Arial" w:hAnsi="Arial" w:cs="Arial"/>
          <w:spacing w:val="-3"/>
        </w:rPr>
        <w:t>criterion</w:t>
      </w:r>
      <w:r>
        <w:rPr>
          <w:rFonts w:ascii="Arial" w:eastAsia="Arial" w:hAnsi="Arial" w:cs="Arial"/>
          <w:spacing w:val="-3"/>
        </w:rPr>
        <w:t xml:space="preserve"> for </w:t>
      </w:r>
      <w:r w:rsidR="0090508F" w:rsidRPr="0090508F">
        <w:rPr>
          <w:rFonts w:ascii="Arial" w:eastAsia="Arial" w:hAnsi="Arial" w:cs="Arial"/>
          <w:spacing w:val="-3"/>
        </w:rPr>
        <w:t>Investment decisions</w:t>
      </w:r>
      <w:r>
        <w:rPr>
          <w:rFonts w:ascii="Arial" w:eastAsia="Arial" w:hAnsi="Arial" w:cs="Arial"/>
          <w:spacing w:val="-3"/>
        </w:rPr>
        <w:t xml:space="preserve"> is</w:t>
      </w:r>
      <w:r w:rsidR="00D1513D">
        <w:rPr>
          <w:rFonts w:ascii="Arial" w:eastAsia="Arial" w:hAnsi="Arial" w:cs="Arial"/>
          <w:spacing w:val="-3"/>
        </w:rPr>
        <w:t>:</w:t>
      </w:r>
    </w:p>
    <w:p w14:paraId="0B9829C2" w14:textId="77777777" w:rsidR="0090508F" w:rsidRPr="00515044" w:rsidRDefault="0090508F" w:rsidP="00515044">
      <w:pPr>
        <w:pStyle w:val="Heading1"/>
        <w:ind w:firstLine="360"/>
        <w:rPr>
          <w:rFonts w:eastAsia="Arial"/>
          <w:color w:val="4472C4" w:themeColor="accent1"/>
          <w:spacing w:val="-3"/>
          <w:sz w:val="26"/>
          <w:szCs w:val="26"/>
        </w:rPr>
      </w:pPr>
      <w:r w:rsidRPr="00515044">
        <w:rPr>
          <w:rFonts w:ascii="Arial" w:eastAsia="Arial" w:hAnsi="Arial" w:cs="Arial"/>
          <w:color w:val="4472C4" w:themeColor="accent1"/>
          <w:spacing w:val="-3"/>
          <w:sz w:val="26"/>
          <w:szCs w:val="26"/>
        </w:rPr>
        <w:t xml:space="preserve">Preservation of Capital </w:t>
      </w:r>
    </w:p>
    <w:p w14:paraId="6786A99A" w14:textId="77FD01A7" w:rsidR="0090508F" w:rsidRPr="0090508F" w:rsidRDefault="0090508F" w:rsidP="00515044">
      <w:pPr>
        <w:pStyle w:val="ListParagraph"/>
        <w:ind w:left="360"/>
        <w:jc w:val="both"/>
        <w:rPr>
          <w:rFonts w:ascii="Arial" w:eastAsia="Arial" w:hAnsi="Arial" w:cs="Arial"/>
          <w:spacing w:val="-3"/>
        </w:rPr>
      </w:pPr>
      <w:r w:rsidRPr="0090508F">
        <w:rPr>
          <w:rFonts w:ascii="Arial" w:eastAsia="Arial" w:hAnsi="Arial" w:cs="Arial"/>
          <w:spacing w:val="-3"/>
        </w:rPr>
        <w:t xml:space="preserve">All investments are placed to ensure security and safeguarding of the investment portfolio.  This includes managing credit and interest rate risk within identified thresholds and parameters.  </w:t>
      </w:r>
    </w:p>
    <w:p w14:paraId="0B7EF85D" w14:textId="77777777" w:rsidR="00D1513D" w:rsidRDefault="00D1513D" w:rsidP="00D1513D">
      <w:pPr>
        <w:pStyle w:val="ListParagraph"/>
        <w:ind w:left="360"/>
        <w:jc w:val="both"/>
        <w:rPr>
          <w:rFonts w:ascii="Arial" w:eastAsia="Arial" w:hAnsi="Arial" w:cs="Arial"/>
          <w:spacing w:val="-3"/>
        </w:rPr>
      </w:pPr>
    </w:p>
    <w:p w14:paraId="342566A4" w14:textId="17B4BB37" w:rsidR="0090508F" w:rsidRPr="0090508F" w:rsidRDefault="0090508F" w:rsidP="00515044">
      <w:pPr>
        <w:pStyle w:val="ListParagraph"/>
        <w:ind w:left="360"/>
        <w:jc w:val="both"/>
        <w:rPr>
          <w:rFonts w:ascii="Arial" w:eastAsia="Arial" w:hAnsi="Arial" w:cs="Arial"/>
          <w:spacing w:val="-3"/>
        </w:rPr>
      </w:pPr>
      <w:r w:rsidRPr="0090508F">
        <w:rPr>
          <w:rFonts w:ascii="Arial" w:eastAsia="Arial" w:hAnsi="Arial" w:cs="Arial"/>
          <w:spacing w:val="-3"/>
        </w:rPr>
        <w:t>Additionally, investment decisions should aim to balance the following criteria:</w:t>
      </w:r>
    </w:p>
    <w:p w14:paraId="19DF786C" w14:textId="77777777" w:rsidR="0090508F" w:rsidRPr="00CF0C62" w:rsidRDefault="0090508F" w:rsidP="00515044">
      <w:pPr>
        <w:pStyle w:val="Heading1"/>
        <w:ind w:firstLine="360"/>
        <w:rPr>
          <w:rFonts w:eastAsia="Arial"/>
          <w:color w:val="808080" w:themeColor="background1" w:themeShade="80"/>
          <w:spacing w:val="-3"/>
          <w:sz w:val="26"/>
          <w:szCs w:val="26"/>
        </w:rPr>
      </w:pPr>
      <w:r w:rsidRPr="00A1791B">
        <w:rPr>
          <w:rFonts w:ascii="Arial" w:eastAsia="Arial" w:hAnsi="Arial" w:cs="Arial"/>
          <w:color w:val="4472C4" w:themeColor="accent1"/>
          <w:spacing w:val="-3"/>
          <w:sz w:val="26"/>
          <w:szCs w:val="26"/>
        </w:rPr>
        <w:t>Maintenance of Liquidity</w:t>
      </w:r>
    </w:p>
    <w:p w14:paraId="2D1B8EB8" w14:textId="77777777" w:rsidR="0090508F" w:rsidRPr="0090508F" w:rsidRDefault="0090508F" w:rsidP="00515044">
      <w:pPr>
        <w:pStyle w:val="ListParagraph"/>
        <w:ind w:left="360"/>
        <w:jc w:val="both"/>
        <w:rPr>
          <w:rFonts w:ascii="Arial" w:eastAsia="Arial" w:hAnsi="Arial" w:cs="Arial"/>
          <w:spacing w:val="-3"/>
        </w:rPr>
      </w:pPr>
      <w:r w:rsidRPr="0090508F">
        <w:rPr>
          <w:rFonts w:ascii="Arial" w:eastAsia="Arial" w:hAnsi="Arial" w:cs="Arial"/>
          <w:spacing w:val="-3"/>
        </w:rPr>
        <w:t>The investment portfolio will maintain sufficient liquidity to meet all reasonably anticipated operating cash flow requirements.</w:t>
      </w:r>
    </w:p>
    <w:p w14:paraId="293AB495" w14:textId="77777777" w:rsidR="0090508F" w:rsidRPr="00A1791B" w:rsidRDefault="0090508F" w:rsidP="00515044">
      <w:pPr>
        <w:pStyle w:val="Heading1"/>
        <w:ind w:firstLine="360"/>
        <w:rPr>
          <w:rFonts w:eastAsia="Arial"/>
          <w:color w:val="4472C4" w:themeColor="accent1"/>
          <w:spacing w:val="-3"/>
          <w:sz w:val="26"/>
          <w:szCs w:val="26"/>
        </w:rPr>
      </w:pPr>
      <w:r w:rsidRPr="00A1791B">
        <w:rPr>
          <w:rFonts w:ascii="Arial" w:eastAsia="Arial" w:hAnsi="Arial" w:cs="Arial"/>
          <w:color w:val="4472C4" w:themeColor="accent1"/>
          <w:spacing w:val="-3"/>
          <w:sz w:val="26"/>
          <w:szCs w:val="26"/>
        </w:rPr>
        <w:t>Investment Return Target</w:t>
      </w:r>
    </w:p>
    <w:p w14:paraId="2DA356CF" w14:textId="211C2C82" w:rsidR="0090508F" w:rsidRPr="00CF0C62" w:rsidRDefault="0090508F" w:rsidP="00515044">
      <w:pPr>
        <w:pStyle w:val="ListParagraph"/>
        <w:ind w:left="360"/>
        <w:jc w:val="both"/>
        <w:rPr>
          <w:rFonts w:ascii="Arial" w:eastAsia="Arial" w:hAnsi="Arial" w:cs="Arial"/>
          <w:spacing w:val="-3"/>
        </w:rPr>
      </w:pPr>
      <w:r w:rsidRPr="0090508F">
        <w:rPr>
          <w:rFonts w:ascii="Arial" w:eastAsia="Arial" w:hAnsi="Arial" w:cs="Arial"/>
          <w:spacing w:val="-3"/>
        </w:rPr>
        <w:t xml:space="preserve">Investments are targeted to achieve a benchmarked rate of return of 50 basis points above the </w:t>
      </w:r>
      <w:r w:rsidR="006A23C2" w:rsidRPr="0090508F">
        <w:rPr>
          <w:rFonts w:ascii="Arial" w:eastAsia="Arial" w:hAnsi="Arial" w:cs="Arial"/>
          <w:spacing w:val="-3"/>
        </w:rPr>
        <w:t>90-day</w:t>
      </w:r>
      <w:r w:rsidRPr="0090508F">
        <w:rPr>
          <w:rFonts w:ascii="Arial" w:eastAsia="Arial" w:hAnsi="Arial" w:cs="Arial"/>
          <w:spacing w:val="-3"/>
        </w:rPr>
        <w:t xml:space="preserve"> Bank Bill Swap rate (BBSW90). In addition to maximising the returns, factors such as investing with local branches, risk diversification, ethical and climate change impact will be considered.  Funds may be invested with institutions not offering the highest interest rate of return for the chosen term. </w:t>
      </w:r>
    </w:p>
    <w:p w14:paraId="6E45FF84" w14:textId="77777777" w:rsidR="0090508F" w:rsidRPr="00A1791B" w:rsidRDefault="0090508F" w:rsidP="00515044">
      <w:pPr>
        <w:pStyle w:val="Heading1"/>
        <w:ind w:firstLine="360"/>
        <w:rPr>
          <w:rFonts w:eastAsia="Arial"/>
          <w:color w:val="4472C4" w:themeColor="accent1"/>
          <w:spacing w:val="-3"/>
          <w:sz w:val="26"/>
          <w:szCs w:val="26"/>
        </w:rPr>
      </w:pPr>
      <w:r w:rsidRPr="00A1791B">
        <w:rPr>
          <w:rFonts w:ascii="Arial" w:eastAsia="Arial" w:hAnsi="Arial" w:cs="Arial"/>
          <w:color w:val="4472C4" w:themeColor="accent1"/>
          <w:spacing w:val="-3"/>
          <w:sz w:val="26"/>
          <w:szCs w:val="26"/>
        </w:rPr>
        <w:t>Corporate Social Responsibility (CSR)</w:t>
      </w:r>
    </w:p>
    <w:p w14:paraId="0E684D43" w14:textId="77777777" w:rsidR="0090508F" w:rsidRPr="0090508F" w:rsidRDefault="0090508F" w:rsidP="00515044">
      <w:pPr>
        <w:pStyle w:val="ListParagraph"/>
        <w:ind w:left="360"/>
        <w:jc w:val="both"/>
        <w:rPr>
          <w:rFonts w:ascii="Arial" w:hAnsi="Arial" w:cs="Arial"/>
          <w:i/>
          <w:iCs/>
        </w:rPr>
      </w:pPr>
      <w:r w:rsidRPr="0090508F">
        <w:rPr>
          <w:rFonts w:ascii="Arial" w:hAnsi="Arial" w:cs="Arial"/>
        </w:rPr>
        <w:t xml:space="preserve">Council is committed to maximising social and environmental outcomes through the selection of financial institutions and investment products.  This commitment supports Council’s Declaration of a Climate Emergency (18 September 2019), the support for the Treaty on the Prohibition of </w:t>
      </w:r>
      <w:proofErr w:type="gramStart"/>
      <w:r w:rsidRPr="0090508F">
        <w:rPr>
          <w:rFonts w:ascii="Arial" w:hAnsi="Arial" w:cs="Arial"/>
        </w:rPr>
        <w:t>Nuclear Weapons</w:t>
      </w:r>
      <w:proofErr w:type="gramEnd"/>
      <w:r w:rsidRPr="0090508F">
        <w:rPr>
          <w:rFonts w:ascii="Arial" w:hAnsi="Arial" w:cs="Arial"/>
        </w:rPr>
        <w:t xml:space="preserve"> (16 October 2019) and </w:t>
      </w:r>
      <w:r w:rsidRPr="0090508F">
        <w:rPr>
          <w:rFonts w:ascii="Arial" w:hAnsi="Arial" w:cs="Arial"/>
          <w:i/>
          <w:iCs/>
        </w:rPr>
        <w:t xml:space="preserve">the Council Plan.   </w:t>
      </w:r>
    </w:p>
    <w:p w14:paraId="3FF5927A" w14:textId="07F51495" w:rsidR="0090508F" w:rsidRPr="00354490" w:rsidRDefault="0090508F" w:rsidP="00515044">
      <w:pPr>
        <w:ind w:left="360"/>
        <w:jc w:val="both"/>
        <w:rPr>
          <w:rFonts w:ascii="Arial" w:hAnsi="Arial" w:cs="Arial"/>
        </w:rPr>
      </w:pPr>
      <w:r w:rsidRPr="00354490">
        <w:rPr>
          <w:rFonts w:ascii="Arial" w:hAnsi="Arial" w:cs="Arial"/>
        </w:rPr>
        <w:t xml:space="preserve">Council actively and regularly reviews its investment portfolio to identify and minimise investments that directly or indirectly support fossil fuel companies.  Each year fossil free investment targets are set in the Council Plan with progress reported </w:t>
      </w:r>
      <w:r w:rsidR="008B19E7">
        <w:rPr>
          <w:rFonts w:ascii="Arial" w:hAnsi="Arial" w:cs="Arial"/>
        </w:rPr>
        <w:t>throughout the financial year</w:t>
      </w:r>
      <w:r w:rsidRPr="00354490">
        <w:rPr>
          <w:rFonts w:ascii="Arial" w:hAnsi="Arial" w:cs="Arial"/>
        </w:rPr>
        <w:t>.</w:t>
      </w:r>
      <w:r w:rsidR="007D3451">
        <w:rPr>
          <w:rFonts w:ascii="Arial" w:hAnsi="Arial" w:cs="Arial"/>
        </w:rPr>
        <w:t xml:space="preserve">  </w:t>
      </w:r>
      <w:r w:rsidRPr="00354490">
        <w:rPr>
          <w:rFonts w:ascii="Arial" w:hAnsi="Arial" w:cs="Arial"/>
        </w:rPr>
        <w:t xml:space="preserve">Investments that are exposed to the fossil fuel industry are only kept at the minimum required to comply with the organisation’s financial risk management objectives. </w:t>
      </w:r>
    </w:p>
    <w:p w14:paraId="0886415F" w14:textId="77777777" w:rsidR="0090508F" w:rsidRPr="0090508F" w:rsidRDefault="0090508F" w:rsidP="00515044">
      <w:pPr>
        <w:pStyle w:val="ListParagraph"/>
        <w:ind w:left="360"/>
        <w:jc w:val="both"/>
        <w:rPr>
          <w:rFonts w:ascii="Arial" w:hAnsi="Arial" w:cs="Arial"/>
          <w:i/>
          <w:iCs/>
        </w:rPr>
      </w:pPr>
      <w:r w:rsidRPr="0090508F">
        <w:rPr>
          <w:rFonts w:ascii="Arial" w:hAnsi="Arial" w:cs="Arial"/>
        </w:rPr>
        <w:t>Council does not invest directly in companies that produce nuclear weapons.  Wherever practical, Council preferences financial institutions and investment products that do not directly or indirectly fund any activities in the Arms industry.</w:t>
      </w:r>
    </w:p>
    <w:p w14:paraId="21868187" w14:textId="27D482DE" w:rsidR="0090508F" w:rsidRPr="00A1791B" w:rsidRDefault="0090508F" w:rsidP="00515044">
      <w:pPr>
        <w:pStyle w:val="Heading1"/>
        <w:ind w:firstLine="360"/>
        <w:rPr>
          <w:rFonts w:eastAsia="Arial"/>
          <w:color w:val="4472C4" w:themeColor="accent1"/>
          <w:spacing w:val="-3"/>
          <w:sz w:val="26"/>
          <w:szCs w:val="26"/>
        </w:rPr>
      </w:pPr>
      <w:r w:rsidRPr="00A1791B">
        <w:rPr>
          <w:rFonts w:ascii="Arial" w:eastAsia="Arial" w:hAnsi="Arial" w:cs="Arial"/>
          <w:color w:val="4472C4" w:themeColor="accent1"/>
          <w:spacing w:val="-3"/>
          <w:sz w:val="26"/>
          <w:szCs w:val="26"/>
        </w:rPr>
        <w:t>Social Responsibility</w:t>
      </w:r>
    </w:p>
    <w:p w14:paraId="4023CB5F" w14:textId="37786CF4" w:rsidR="0090508F" w:rsidRPr="0090508F" w:rsidRDefault="0090508F" w:rsidP="00515044">
      <w:pPr>
        <w:pStyle w:val="ListParagraph"/>
        <w:ind w:left="360"/>
        <w:jc w:val="both"/>
        <w:rPr>
          <w:rFonts w:ascii="Arial" w:hAnsi="Arial" w:cs="Arial"/>
        </w:rPr>
      </w:pPr>
      <w:r w:rsidRPr="0090508F">
        <w:rPr>
          <w:rFonts w:ascii="Arial" w:hAnsi="Arial" w:cs="Arial"/>
        </w:rPr>
        <w:t xml:space="preserve">Council prefers not to invest with financial institutions or in financial products that directly or indirectly funds activities related to offshore detention, tobacco, </w:t>
      </w:r>
      <w:r w:rsidR="00E77422" w:rsidRPr="0090508F">
        <w:rPr>
          <w:rFonts w:ascii="Arial" w:hAnsi="Arial" w:cs="Arial"/>
        </w:rPr>
        <w:t>gambling,</w:t>
      </w:r>
      <w:r w:rsidRPr="0090508F">
        <w:rPr>
          <w:rFonts w:ascii="Arial" w:hAnsi="Arial" w:cs="Arial"/>
        </w:rPr>
        <w:t xml:space="preserve"> or entertainment involving animals including racing.  Council actively and regularly seeks investment alternatives that also meet organisation’s financial risk management objectives.  </w:t>
      </w:r>
    </w:p>
    <w:p w14:paraId="383DBF3F" w14:textId="77777777" w:rsidR="0090508F" w:rsidRPr="0090508F" w:rsidRDefault="0090508F" w:rsidP="00515044">
      <w:pPr>
        <w:pStyle w:val="ListParagraph"/>
        <w:ind w:left="360"/>
        <w:jc w:val="both"/>
      </w:pPr>
    </w:p>
    <w:p w14:paraId="1F6BE5C9" w14:textId="77777777" w:rsidR="00E70930" w:rsidRDefault="00E70930">
      <w:pPr>
        <w:rPr>
          <w:rFonts w:ascii="Arial" w:hAnsi="Arial" w:cs="Arial"/>
          <w:b/>
          <w:szCs w:val="20"/>
        </w:rPr>
      </w:pPr>
      <w:bookmarkStart w:id="0" w:name="_Toc104283412"/>
      <w:r>
        <w:br w:type="page"/>
      </w:r>
    </w:p>
    <w:p w14:paraId="67535360" w14:textId="5550FFA3" w:rsidR="00A673A2" w:rsidRPr="00CE6338" w:rsidRDefault="00A673A2" w:rsidP="00354490">
      <w:pPr>
        <w:pStyle w:val="Heading21"/>
        <w:rPr>
          <w:i/>
        </w:rPr>
      </w:pPr>
      <w:r w:rsidRPr="00CE6338">
        <w:lastRenderedPageBreak/>
        <w:t>Authorised investments</w:t>
      </w:r>
      <w:bookmarkEnd w:id="0"/>
      <w:r w:rsidRPr="00CE6338">
        <w:t xml:space="preserve"> </w:t>
      </w:r>
    </w:p>
    <w:p w14:paraId="02B26BA9" w14:textId="77777777" w:rsidR="00A673A2" w:rsidRPr="00515044" w:rsidRDefault="00A673A2" w:rsidP="00A673A2">
      <w:pPr>
        <w:spacing w:before="120"/>
        <w:ind w:right="53"/>
        <w:rPr>
          <w:rFonts w:ascii="Arial" w:eastAsia="Arial" w:hAnsi="Arial" w:cs="Arial"/>
          <w:spacing w:val="-3"/>
        </w:rPr>
      </w:pPr>
      <w:r w:rsidRPr="00515044">
        <w:rPr>
          <w:rFonts w:ascii="Arial" w:eastAsia="Arial" w:hAnsi="Arial" w:cs="Arial"/>
          <w:spacing w:val="-3"/>
        </w:rPr>
        <w:t>Council can invest in the following:</w:t>
      </w:r>
    </w:p>
    <w:p w14:paraId="11D8E772" w14:textId="77777777" w:rsidR="00A673A2" w:rsidRPr="00515044" w:rsidRDefault="00A673A2" w:rsidP="00A673A2">
      <w:pPr>
        <w:pStyle w:val="ListParagraph"/>
        <w:numPr>
          <w:ilvl w:val="0"/>
          <w:numId w:val="6"/>
        </w:numPr>
        <w:tabs>
          <w:tab w:val="left" w:pos="-3060"/>
          <w:tab w:val="left" w:pos="-2340"/>
          <w:tab w:val="left" w:pos="6300"/>
        </w:tabs>
        <w:suppressAutoHyphens/>
        <w:spacing w:before="120" w:after="120" w:line="288" w:lineRule="auto"/>
        <w:ind w:right="53"/>
        <w:rPr>
          <w:rFonts w:ascii="Arial" w:eastAsia="Arial" w:hAnsi="Arial" w:cs="Arial"/>
          <w:spacing w:val="-3"/>
        </w:rPr>
      </w:pPr>
      <w:r w:rsidRPr="00515044">
        <w:rPr>
          <w:rFonts w:ascii="Arial" w:eastAsia="Arial" w:hAnsi="Arial" w:cs="Arial"/>
          <w:spacing w:val="-3"/>
        </w:rPr>
        <w:t xml:space="preserve">Term deposits </w:t>
      </w:r>
    </w:p>
    <w:p w14:paraId="4933CAF8" w14:textId="77777777" w:rsidR="00A673A2" w:rsidRPr="00515044" w:rsidRDefault="00A673A2" w:rsidP="00A673A2">
      <w:pPr>
        <w:pStyle w:val="ListParagraph"/>
        <w:numPr>
          <w:ilvl w:val="0"/>
          <w:numId w:val="6"/>
        </w:numPr>
        <w:tabs>
          <w:tab w:val="left" w:pos="-3060"/>
          <w:tab w:val="left" w:pos="-2340"/>
          <w:tab w:val="left" w:pos="6300"/>
        </w:tabs>
        <w:suppressAutoHyphens/>
        <w:spacing w:before="120" w:after="120" w:line="288" w:lineRule="auto"/>
        <w:ind w:right="53"/>
        <w:rPr>
          <w:rFonts w:ascii="Arial" w:eastAsia="Arial" w:hAnsi="Arial" w:cs="Arial"/>
          <w:spacing w:val="-3"/>
        </w:rPr>
      </w:pPr>
      <w:r w:rsidRPr="00515044">
        <w:rPr>
          <w:rFonts w:ascii="Arial" w:eastAsia="Arial" w:hAnsi="Arial" w:cs="Arial"/>
          <w:spacing w:val="-3"/>
        </w:rPr>
        <w:t>At-Call accounts</w:t>
      </w:r>
    </w:p>
    <w:p w14:paraId="62FE72AB" w14:textId="77777777" w:rsidR="00A673A2" w:rsidRPr="00515044" w:rsidRDefault="00A673A2" w:rsidP="00A673A2">
      <w:pPr>
        <w:pStyle w:val="ListParagraph"/>
        <w:numPr>
          <w:ilvl w:val="0"/>
          <w:numId w:val="6"/>
        </w:numPr>
        <w:tabs>
          <w:tab w:val="left" w:pos="-3060"/>
          <w:tab w:val="left" w:pos="-2340"/>
          <w:tab w:val="left" w:pos="6300"/>
        </w:tabs>
        <w:suppressAutoHyphens/>
        <w:spacing w:before="120" w:after="120" w:line="288" w:lineRule="auto"/>
        <w:ind w:right="53"/>
        <w:rPr>
          <w:rFonts w:ascii="Arial" w:eastAsia="Arial" w:hAnsi="Arial" w:cs="Arial"/>
          <w:spacing w:val="-3"/>
        </w:rPr>
      </w:pPr>
      <w:r w:rsidRPr="00515044">
        <w:rPr>
          <w:rFonts w:ascii="Arial" w:eastAsia="Arial" w:hAnsi="Arial" w:cs="Arial"/>
          <w:spacing w:val="-3"/>
        </w:rPr>
        <w:t>Floating rates notes</w:t>
      </w:r>
    </w:p>
    <w:p w14:paraId="5681FD82" w14:textId="4742323B" w:rsidR="00A673A2" w:rsidRPr="00515044" w:rsidRDefault="009B6F82" w:rsidP="00A673A2">
      <w:pPr>
        <w:pStyle w:val="ListParagraph"/>
        <w:numPr>
          <w:ilvl w:val="0"/>
          <w:numId w:val="6"/>
        </w:numPr>
        <w:tabs>
          <w:tab w:val="left" w:pos="-3060"/>
          <w:tab w:val="left" w:pos="-2340"/>
          <w:tab w:val="left" w:pos="6300"/>
        </w:tabs>
        <w:suppressAutoHyphens/>
        <w:spacing w:before="120" w:after="120" w:line="288" w:lineRule="auto"/>
        <w:ind w:right="53"/>
        <w:rPr>
          <w:rFonts w:ascii="Arial" w:eastAsia="Arial" w:hAnsi="Arial" w:cs="Arial"/>
          <w:spacing w:val="-3"/>
        </w:rPr>
      </w:pPr>
      <w:r>
        <w:rPr>
          <w:rFonts w:ascii="Arial" w:eastAsia="Arial" w:hAnsi="Arial" w:cs="Arial"/>
        </w:rPr>
        <w:t>Vic</w:t>
      </w:r>
      <w:r w:rsidR="00EE53FA">
        <w:rPr>
          <w:rFonts w:ascii="Arial" w:eastAsia="Arial" w:hAnsi="Arial" w:cs="Arial"/>
        </w:rPr>
        <w:t>torian Funds Management Corporation (</w:t>
      </w:r>
      <w:r w:rsidR="00A673A2" w:rsidRPr="00515044">
        <w:rPr>
          <w:rFonts w:ascii="Arial" w:eastAsia="Arial" w:hAnsi="Arial" w:cs="Arial"/>
        </w:rPr>
        <w:t>VFMC</w:t>
      </w:r>
      <w:r w:rsidR="00EE53FA">
        <w:rPr>
          <w:rFonts w:ascii="Arial" w:eastAsia="Arial" w:hAnsi="Arial" w:cs="Arial"/>
        </w:rPr>
        <w:t>)</w:t>
      </w:r>
      <w:r w:rsidR="00A673A2" w:rsidRPr="00515044">
        <w:rPr>
          <w:rFonts w:ascii="Arial" w:eastAsia="Arial" w:hAnsi="Arial" w:cs="Arial"/>
        </w:rPr>
        <w:t xml:space="preserve"> – Enhanced income fund</w:t>
      </w:r>
    </w:p>
    <w:p w14:paraId="53E759F0" w14:textId="77777777" w:rsidR="00A673A2" w:rsidRPr="00515044" w:rsidRDefault="00A673A2" w:rsidP="00A673A2">
      <w:pPr>
        <w:pStyle w:val="ListParagraph"/>
        <w:numPr>
          <w:ilvl w:val="0"/>
          <w:numId w:val="6"/>
        </w:numPr>
        <w:tabs>
          <w:tab w:val="left" w:pos="-3060"/>
          <w:tab w:val="left" w:pos="-2340"/>
          <w:tab w:val="left" w:pos="6300"/>
        </w:tabs>
        <w:suppressAutoHyphens/>
        <w:spacing w:before="120" w:after="120" w:line="288" w:lineRule="auto"/>
        <w:ind w:right="53"/>
        <w:rPr>
          <w:rFonts w:ascii="Arial" w:eastAsia="Arial" w:hAnsi="Arial" w:cs="Arial"/>
          <w:spacing w:val="-3"/>
        </w:rPr>
      </w:pPr>
      <w:r w:rsidRPr="00515044">
        <w:rPr>
          <w:rFonts w:ascii="Arial" w:eastAsia="Arial" w:hAnsi="Arial" w:cs="Arial"/>
          <w:spacing w:val="-3"/>
        </w:rPr>
        <w:t>Federal &amp; State government bonds.</w:t>
      </w:r>
    </w:p>
    <w:p w14:paraId="6D7233BC" w14:textId="77777777" w:rsidR="00A673A2" w:rsidRPr="00515044" w:rsidRDefault="00A673A2" w:rsidP="00A673A2">
      <w:pPr>
        <w:spacing w:before="120"/>
        <w:ind w:right="53"/>
        <w:rPr>
          <w:rFonts w:ascii="Arial" w:eastAsia="Arial" w:hAnsi="Arial" w:cs="Arial"/>
          <w:spacing w:val="-3"/>
        </w:rPr>
      </w:pPr>
      <w:r w:rsidRPr="00515044">
        <w:rPr>
          <w:rFonts w:ascii="Arial" w:eastAsia="Arial" w:hAnsi="Arial" w:cs="Arial"/>
          <w:spacing w:val="-3"/>
        </w:rPr>
        <w:t>All investments are to be denominated in Australian dollars.</w:t>
      </w:r>
    </w:p>
    <w:p w14:paraId="563287CD" w14:textId="77777777" w:rsidR="00BB6A54" w:rsidRDefault="00BB6A54" w:rsidP="00B66709">
      <w:pPr>
        <w:pStyle w:val="Heading21"/>
      </w:pPr>
    </w:p>
    <w:p w14:paraId="0F1E8670" w14:textId="0F80AB26" w:rsidR="00B66709" w:rsidRPr="00CE6338" w:rsidRDefault="00B66709" w:rsidP="00B66709">
      <w:pPr>
        <w:pStyle w:val="Heading21"/>
        <w:rPr>
          <w:i/>
        </w:rPr>
      </w:pPr>
      <w:r w:rsidRPr="00CE6338">
        <w:t>Credit ratings requirements</w:t>
      </w:r>
    </w:p>
    <w:p w14:paraId="21183927" w14:textId="77777777" w:rsidR="00B66709" w:rsidRPr="00515044" w:rsidRDefault="00B66709" w:rsidP="00B66709">
      <w:pPr>
        <w:spacing w:before="120"/>
        <w:ind w:right="53"/>
        <w:jc w:val="both"/>
        <w:rPr>
          <w:rFonts w:ascii="Arial" w:eastAsia="Arial" w:hAnsi="Arial" w:cs="Arial"/>
          <w:spacing w:val="-3"/>
        </w:rPr>
      </w:pPr>
      <w:r w:rsidRPr="00515044">
        <w:rPr>
          <w:rFonts w:ascii="Arial" w:eastAsia="Arial" w:hAnsi="Arial" w:cs="Arial"/>
          <w:spacing w:val="-3"/>
        </w:rPr>
        <w:t>Each institution that Council places funds with must meet the following criteria:</w:t>
      </w:r>
    </w:p>
    <w:p w14:paraId="39554511" w14:textId="21DB66B8" w:rsidR="00B66709" w:rsidRPr="00515044" w:rsidRDefault="00B66709" w:rsidP="00B66709">
      <w:pPr>
        <w:pStyle w:val="ListParagraph"/>
        <w:numPr>
          <w:ilvl w:val="0"/>
          <w:numId w:val="5"/>
        </w:numPr>
        <w:spacing w:before="120" w:after="120" w:line="240" w:lineRule="auto"/>
        <w:ind w:right="53"/>
        <w:contextualSpacing w:val="0"/>
        <w:jc w:val="both"/>
        <w:rPr>
          <w:rFonts w:ascii="Arial" w:eastAsia="Arial" w:hAnsi="Arial" w:cs="Arial"/>
          <w:spacing w:val="-3"/>
        </w:rPr>
      </w:pPr>
      <w:r w:rsidRPr="00515044">
        <w:rPr>
          <w:rFonts w:ascii="Arial" w:eastAsia="Arial" w:hAnsi="Arial" w:cs="Arial"/>
          <w:spacing w:val="-3"/>
        </w:rPr>
        <w:t xml:space="preserve">investments </w:t>
      </w:r>
      <w:r w:rsidR="006A23C2" w:rsidRPr="00515044">
        <w:rPr>
          <w:rFonts w:ascii="Arial" w:eastAsia="Arial" w:hAnsi="Arial" w:cs="Arial"/>
          <w:spacing w:val="-3"/>
        </w:rPr>
        <w:t xml:space="preserve">for </w:t>
      </w:r>
      <w:r w:rsidR="006A23C2">
        <w:rPr>
          <w:rFonts w:ascii="Arial" w:eastAsia="Arial" w:hAnsi="Arial" w:cs="Arial"/>
          <w:spacing w:val="-3"/>
        </w:rPr>
        <w:t>365</w:t>
      </w:r>
      <w:r w:rsidRPr="00515044">
        <w:rPr>
          <w:rFonts w:ascii="Arial" w:eastAsia="Arial" w:hAnsi="Arial" w:cs="Arial"/>
          <w:spacing w:val="-3"/>
        </w:rPr>
        <w:t xml:space="preserve"> or more days the </w:t>
      </w:r>
      <w:r w:rsidRPr="00515044">
        <w:rPr>
          <w:rFonts w:ascii="Arial" w:eastAsia="Arial" w:hAnsi="Arial" w:cs="Arial"/>
          <w:b/>
          <w:spacing w:val="-3"/>
        </w:rPr>
        <w:t>long-term rating</w:t>
      </w:r>
      <w:r w:rsidRPr="00515044">
        <w:rPr>
          <w:rFonts w:ascii="Arial" w:eastAsia="Arial" w:hAnsi="Arial" w:cs="Arial"/>
          <w:spacing w:val="-3"/>
        </w:rPr>
        <w:t xml:space="preserve"> must be at least </w:t>
      </w:r>
      <w:r w:rsidRPr="00515044">
        <w:rPr>
          <w:rFonts w:ascii="Arial" w:eastAsia="Arial" w:hAnsi="Arial" w:cs="Arial"/>
          <w:b/>
          <w:spacing w:val="-3"/>
        </w:rPr>
        <w:t>BBB+ /Baa1</w:t>
      </w:r>
      <w:r w:rsidRPr="00515044">
        <w:rPr>
          <w:rFonts w:ascii="Arial" w:eastAsia="Arial" w:hAnsi="Arial" w:cs="Arial"/>
          <w:spacing w:val="-3"/>
        </w:rPr>
        <w:t xml:space="preserve"> or above </w:t>
      </w:r>
    </w:p>
    <w:p w14:paraId="2C031350" w14:textId="77777777" w:rsidR="00A6646C" w:rsidRDefault="00B66709" w:rsidP="00354490">
      <w:pPr>
        <w:pStyle w:val="ListParagraph"/>
        <w:numPr>
          <w:ilvl w:val="0"/>
          <w:numId w:val="5"/>
        </w:numPr>
        <w:spacing w:before="120" w:after="120" w:line="240" w:lineRule="auto"/>
        <w:ind w:right="53"/>
        <w:contextualSpacing w:val="0"/>
        <w:jc w:val="both"/>
        <w:rPr>
          <w:rFonts w:ascii="Arial" w:eastAsia="Arial" w:hAnsi="Arial" w:cs="Arial"/>
          <w:spacing w:val="-3"/>
        </w:rPr>
      </w:pPr>
      <w:r w:rsidRPr="00515044">
        <w:rPr>
          <w:rFonts w:ascii="Arial" w:eastAsia="Arial" w:hAnsi="Arial" w:cs="Arial"/>
          <w:spacing w:val="-3"/>
        </w:rPr>
        <w:t xml:space="preserve">investments for less than 365 days the </w:t>
      </w:r>
      <w:r w:rsidRPr="00515044">
        <w:rPr>
          <w:rFonts w:ascii="Arial" w:eastAsia="Arial" w:hAnsi="Arial" w:cs="Arial"/>
          <w:b/>
          <w:spacing w:val="-3"/>
        </w:rPr>
        <w:t>short-term rating</w:t>
      </w:r>
      <w:r w:rsidRPr="00515044">
        <w:rPr>
          <w:rFonts w:ascii="Arial" w:eastAsia="Arial" w:hAnsi="Arial" w:cs="Arial"/>
          <w:spacing w:val="-3"/>
        </w:rPr>
        <w:t xml:space="preserve"> must be least </w:t>
      </w:r>
      <w:r w:rsidRPr="00515044">
        <w:rPr>
          <w:rFonts w:ascii="Arial" w:eastAsia="Arial" w:hAnsi="Arial" w:cs="Arial"/>
          <w:b/>
          <w:spacing w:val="-3"/>
        </w:rPr>
        <w:t>A-2/P-2/F-2</w:t>
      </w:r>
      <w:r w:rsidRPr="00515044">
        <w:rPr>
          <w:rFonts w:ascii="Arial" w:eastAsia="Arial" w:hAnsi="Arial" w:cs="Arial"/>
          <w:spacing w:val="-3"/>
        </w:rPr>
        <w:t xml:space="preserve"> or above.</w:t>
      </w:r>
    </w:p>
    <w:p w14:paraId="40605CAE" w14:textId="45EAD937" w:rsidR="00B66709" w:rsidRDefault="00A6646C" w:rsidP="00354490">
      <w:pPr>
        <w:pStyle w:val="ListParagraph"/>
        <w:numPr>
          <w:ilvl w:val="0"/>
          <w:numId w:val="5"/>
        </w:numPr>
        <w:spacing w:before="120" w:after="120" w:line="240" w:lineRule="auto"/>
        <w:ind w:right="53"/>
        <w:contextualSpacing w:val="0"/>
        <w:jc w:val="both"/>
        <w:rPr>
          <w:rFonts w:ascii="Arial" w:eastAsia="Arial" w:hAnsi="Arial" w:cs="Arial"/>
          <w:spacing w:val="-3"/>
        </w:rPr>
      </w:pPr>
      <w:r w:rsidRPr="00515044">
        <w:rPr>
          <w:rFonts w:ascii="Arial" w:eastAsia="Arial" w:hAnsi="Arial" w:cs="Arial"/>
          <w:spacing w:val="-3"/>
        </w:rPr>
        <w:t>VFMC Enhanced income fund</w:t>
      </w:r>
      <w:r w:rsidRPr="007415B7">
        <w:rPr>
          <w:rFonts w:ascii="Arial" w:eastAsia="Arial" w:hAnsi="Arial" w:cs="Arial"/>
          <w:spacing w:val="-3"/>
        </w:rPr>
        <w:t xml:space="preserve"> are allowable</w:t>
      </w:r>
      <w:r w:rsidR="001A73A8">
        <w:rPr>
          <w:rFonts w:ascii="Arial" w:eastAsia="Arial" w:hAnsi="Arial" w:cs="Arial"/>
          <w:spacing w:val="-3"/>
        </w:rPr>
        <w:t xml:space="preserve"> highly liquid</w:t>
      </w:r>
      <w:r w:rsidRPr="007415B7">
        <w:rPr>
          <w:rFonts w:ascii="Arial" w:eastAsia="Arial" w:hAnsi="Arial" w:cs="Arial"/>
          <w:spacing w:val="-3"/>
        </w:rPr>
        <w:t xml:space="preserve"> </w:t>
      </w:r>
      <w:r w:rsidR="00C753E8" w:rsidRPr="007415B7">
        <w:rPr>
          <w:rFonts w:ascii="Arial" w:eastAsia="Arial" w:hAnsi="Arial" w:cs="Arial"/>
          <w:spacing w:val="-3"/>
        </w:rPr>
        <w:t>long-term</w:t>
      </w:r>
      <w:r w:rsidRPr="007415B7">
        <w:rPr>
          <w:rFonts w:ascii="Arial" w:eastAsia="Arial" w:hAnsi="Arial" w:cs="Arial"/>
          <w:spacing w:val="-3"/>
        </w:rPr>
        <w:t xml:space="preserve"> investment</w:t>
      </w:r>
      <w:r w:rsidR="007415B7">
        <w:rPr>
          <w:rFonts w:ascii="Arial" w:eastAsia="Arial" w:hAnsi="Arial" w:cs="Arial"/>
          <w:spacing w:val="-3"/>
        </w:rPr>
        <w:t>s</w:t>
      </w:r>
      <w:r w:rsidRPr="007415B7">
        <w:rPr>
          <w:rFonts w:ascii="Arial" w:eastAsia="Arial" w:hAnsi="Arial" w:cs="Arial"/>
          <w:spacing w:val="-3"/>
        </w:rPr>
        <w:t xml:space="preserve"> where </w:t>
      </w:r>
      <w:r w:rsidR="007415B7">
        <w:rPr>
          <w:rFonts w:ascii="Arial" w:eastAsia="Arial" w:hAnsi="Arial" w:cs="Arial"/>
          <w:spacing w:val="-3"/>
        </w:rPr>
        <w:t>monies</w:t>
      </w:r>
      <w:r w:rsidRPr="007415B7">
        <w:rPr>
          <w:rFonts w:ascii="Arial" w:eastAsia="Arial" w:hAnsi="Arial" w:cs="Arial"/>
          <w:spacing w:val="-3"/>
        </w:rPr>
        <w:t xml:space="preserve"> placed </w:t>
      </w:r>
      <w:r w:rsidR="009A53ED">
        <w:rPr>
          <w:rFonts w:ascii="Arial" w:eastAsia="Arial" w:hAnsi="Arial" w:cs="Arial"/>
          <w:spacing w:val="-3"/>
        </w:rPr>
        <w:t xml:space="preserve">by </w:t>
      </w:r>
      <w:r w:rsidRPr="007415B7">
        <w:rPr>
          <w:rFonts w:ascii="Arial" w:eastAsia="Arial" w:hAnsi="Arial" w:cs="Arial"/>
          <w:spacing w:val="-3"/>
        </w:rPr>
        <w:t xml:space="preserve">Council </w:t>
      </w:r>
      <w:r w:rsidR="00EE53FA">
        <w:rPr>
          <w:rFonts w:ascii="Arial" w:eastAsia="Arial" w:hAnsi="Arial" w:cs="Arial"/>
          <w:spacing w:val="-3"/>
        </w:rPr>
        <w:t xml:space="preserve">are </w:t>
      </w:r>
      <w:r w:rsidRPr="007415B7">
        <w:rPr>
          <w:rFonts w:ascii="Arial" w:eastAsia="Arial" w:hAnsi="Arial" w:cs="Arial"/>
          <w:spacing w:val="-3"/>
        </w:rPr>
        <w:t>invested</w:t>
      </w:r>
      <w:r w:rsidR="007415B7">
        <w:rPr>
          <w:rFonts w:ascii="Arial" w:eastAsia="Arial" w:hAnsi="Arial" w:cs="Arial"/>
          <w:spacing w:val="-3"/>
        </w:rPr>
        <w:t xml:space="preserve"> by the fund</w:t>
      </w:r>
      <w:r w:rsidRPr="007415B7">
        <w:rPr>
          <w:rFonts w:ascii="Arial" w:eastAsia="Arial" w:hAnsi="Arial" w:cs="Arial"/>
          <w:spacing w:val="-3"/>
        </w:rPr>
        <w:t xml:space="preserve"> in multiple </w:t>
      </w:r>
      <w:r w:rsidR="007415B7" w:rsidRPr="007415B7">
        <w:rPr>
          <w:rFonts w:ascii="Arial" w:eastAsia="Arial" w:hAnsi="Arial" w:cs="Arial"/>
          <w:spacing w:val="-3"/>
        </w:rPr>
        <w:t>institutions</w:t>
      </w:r>
      <w:r w:rsidRPr="007415B7">
        <w:rPr>
          <w:rFonts w:ascii="Arial" w:eastAsia="Arial" w:hAnsi="Arial" w:cs="Arial"/>
          <w:spacing w:val="-3"/>
        </w:rPr>
        <w:t xml:space="preserve"> of various ratings.</w:t>
      </w:r>
      <w:r w:rsidR="007415B7">
        <w:rPr>
          <w:rFonts w:ascii="Arial" w:eastAsia="Arial" w:hAnsi="Arial" w:cs="Arial"/>
          <w:spacing w:val="-3"/>
        </w:rPr>
        <w:t xml:space="preserve"> This has </w:t>
      </w:r>
      <w:r w:rsidR="00932E2A">
        <w:rPr>
          <w:rFonts w:ascii="Arial" w:eastAsia="Arial" w:hAnsi="Arial" w:cs="Arial"/>
          <w:spacing w:val="-3"/>
        </w:rPr>
        <w:t xml:space="preserve">been </w:t>
      </w:r>
      <w:r w:rsidR="007415B7">
        <w:rPr>
          <w:rFonts w:ascii="Arial" w:eastAsia="Arial" w:hAnsi="Arial" w:cs="Arial"/>
          <w:spacing w:val="-3"/>
        </w:rPr>
        <w:t xml:space="preserve">approved </w:t>
      </w:r>
      <w:r w:rsidR="00232083">
        <w:rPr>
          <w:rFonts w:ascii="Arial" w:eastAsia="Arial" w:hAnsi="Arial" w:cs="Arial"/>
          <w:spacing w:val="-3"/>
        </w:rPr>
        <w:t>by the Minister for Local Government</w:t>
      </w:r>
      <w:r w:rsidR="001C7865">
        <w:rPr>
          <w:rFonts w:ascii="Arial" w:eastAsia="Arial" w:hAnsi="Arial" w:cs="Arial"/>
          <w:spacing w:val="-3"/>
        </w:rPr>
        <w:t xml:space="preserve"> and is classified as AAA rated.</w:t>
      </w:r>
    </w:p>
    <w:p w14:paraId="17131141" w14:textId="77777777" w:rsidR="00AE5C61" w:rsidRPr="00A6646C" w:rsidRDefault="00AE5C61" w:rsidP="00AE5C61">
      <w:pPr>
        <w:pStyle w:val="ListParagraph"/>
        <w:spacing w:before="120" w:after="120" w:line="240" w:lineRule="auto"/>
        <w:ind w:left="780" w:right="53"/>
        <w:contextualSpacing w:val="0"/>
        <w:jc w:val="both"/>
        <w:rPr>
          <w:rFonts w:ascii="Arial" w:eastAsia="Arial" w:hAnsi="Arial" w:cs="Arial"/>
          <w:spacing w:val="-3"/>
        </w:rPr>
      </w:pPr>
    </w:p>
    <w:p w14:paraId="5137B48C" w14:textId="114FE066" w:rsidR="00A673A2" w:rsidRPr="00515044" w:rsidRDefault="00A673A2" w:rsidP="00354490">
      <w:pPr>
        <w:pStyle w:val="Heading21"/>
      </w:pPr>
      <w:r w:rsidRPr="00515044">
        <w:t>Investment capping</w:t>
      </w:r>
    </w:p>
    <w:p w14:paraId="6116456F" w14:textId="5D9BE387" w:rsidR="00A673A2" w:rsidRDefault="00A673A2" w:rsidP="00A673A2">
      <w:pPr>
        <w:spacing w:before="120"/>
        <w:ind w:right="53"/>
        <w:jc w:val="both"/>
        <w:rPr>
          <w:rFonts w:ascii="Arial" w:eastAsia="Arial" w:hAnsi="Arial" w:cs="Arial"/>
          <w:spacing w:val="-3"/>
        </w:rPr>
      </w:pPr>
      <w:r w:rsidRPr="00515044">
        <w:rPr>
          <w:rFonts w:ascii="Arial" w:eastAsia="Arial" w:hAnsi="Arial" w:cs="Arial"/>
          <w:spacing w:val="-3"/>
          <w:u w:val="single"/>
        </w:rPr>
        <w:t xml:space="preserve">Floating Rate Notes </w:t>
      </w:r>
      <w:r w:rsidR="000657F1">
        <w:rPr>
          <w:rFonts w:ascii="Arial" w:eastAsia="Arial" w:hAnsi="Arial" w:cs="Arial"/>
          <w:spacing w:val="-3"/>
          <w:u w:val="single"/>
        </w:rPr>
        <w:t xml:space="preserve">- </w:t>
      </w:r>
      <w:r w:rsidRPr="00515044">
        <w:rPr>
          <w:rFonts w:ascii="Arial" w:eastAsia="Arial" w:hAnsi="Arial" w:cs="Arial"/>
          <w:spacing w:val="-3"/>
        </w:rPr>
        <w:t xml:space="preserve">capped at 20% of the total portfolio on the day the investment is placed and for a maximum term of </w:t>
      </w:r>
      <w:r w:rsidR="00865D21">
        <w:rPr>
          <w:rFonts w:ascii="Arial" w:eastAsia="Arial" w:hAnsi="Arial" w:cs="Arial"/>
          <w:spacing w:val="-3"/>
        </w:rPr>
        <w:t>5</w:t>
      </w:r>
      <w:r w:rsidRPr="00515044">
        <w:rPr>
          <w:rFonts w:ascii="Arial" w:eastAsia="Arial" w:hAnsi="Arial" w:cs="Arial"/>
          <w:spacing w:val="-3"/>
        </w:rPr>
        <w:t xml:space="preserve"> years.  Floating Rate Notes can only be placed with institutions that meet the long-term rating criteria in this policy. </w:t>
      </w:r>
      <w:r w:rsidR="00930065">
        <w:rPr>
          <w:rFonts w:ascii="Arial" w:eastAsia="Arial" w:hAnsi="Arial" w:cs="Arial"/>
          <w:spacing w:val="-3"/>
        </w:rPr>
        <w:t xml:space="preserve"> VFMC </w:t>
      </w:r>
      <w:r w:rsidR="001A76D2">
        <w:rPr>
          <w:rFonts w:ascii="Arial" w:eastAsia="Arial" w:hAnsi="Arial" w:cs="Arial"/>
          <w:spacing w:val="-3"/>
        </w:rPr>
        <w:t>enhanced income fund investments are included within this cap.</w:t>
      </w:r>
    </w:p>
    <w:p w14:paraId="550A413B" w14:textId="53AB3D50" w:rsidR="001A76D2" w:rsidRDefault="00EA3855" w:rsidP="001A76D2">
      <w:pPr>
        <w:spacing w:before="120"/>
        <w:ind w:right="53"/>
        <w:jc w:val="both"/>
        <w:rPr>
          <w:rFonts w:ascii="Arial" w:eastAsia="Arial" w:hAnsi="Arial" w:cs="Arial"/>
          <w:spacing w:val="-3"/>
        </w:rPr>
      </w:pPr>
      <w:r w:rsidRPr="00515044">
        <w:rPr>
          <w:rFonts w:ascii="Arial" w:eastAsia="Arial" w:hAnsi="Arial" w:cs="Arial"/>
          <w:spacing w:val="-3"/>
          <w:u w:val="single"/>
        </w:rPr>
        <w:t>VFMC Enhanced income fund</w:t>
      </w:r>
      <w:r w:rsidRPr="00515044">
        <w:rPr>
          <w:rFonts w:ascii="Arial" w:eastAsia="Arial" w:hAnsi="Arial" w:cs="Arial"/>
          <w:spacing w:val="-3"/>
        </w:rPr>
        <w:t xml:space="preserve"> </w:t>
      </w:r>
      <w:r w:rsidR="00442FB2">
        <w:rPr>
          <w:rFonts w:ascii="Arial" w:eastAsia="Arial" w:hAnsi="Arial" w:cs="Arial"/>
          <w:spacing w:val="-3"/>
        </w:rPr>
        <w:t>-</w:t>
      </w:r>
      <w:r w:rsidRPr="00515044">
        <w:rPr>
          <w:rFonts w:ascii="Arial" w:eastAsia="Arial" w:hAnsi="Arial" w:cs="Arial"/>
          <w:spacing w:val="-3"/>
        </w:rPr>
        <w:t xml:space="preserve"> capped at 20% of the total portfolio on the day the investment is </w:t>
      </w:r>
      <w:proofErr w:type="gramStart"/>
      <w:r w:rsidRPr="00515044">
        <w:rPr>
          <w:rFonts w:ascii="Arial" w:eastAsia="Arial" w:hAnsi="Arial" w:cs="Arial"/>
          <w:spacing w:val="-3"/>
        </w:rPr>
        <w:t>placed  for</w:t>
      </w:r>
      <w:proofErr w:type="gramEnd"/>
      <w:r w:rsidRPr="00515044">
        <w:rPr>
          <w:rFonts w:ascii="Arial" w:eastAsia="Arial" w:hAnsi="Arial" w:cs="Arial"/>
          <w:spacing w:val="-3"/>
        </w:rPr>
        <w:t xml:space="preserve"> a maximum term of 7 years</w:t>
      </w:r>
      <w:r w:rsidR="003320CF">
        <w:rPr>
          <w:rFonts w:ascii="Arial" w:eastAsia="Arial" w:hAnsi="Arial" w:cs="Arial"/>
          <w:spacing w:val="-3"/>
        </w:rPr>
        <w:t xml:space="preserve"> as they can be liquidated at any time without penalty</w:t>
      </w:r>
      <w:r w:rsidRPr="00515044" w:rsidDel="00190128">
        <w:rPr>
          <w:rFonts w:ascii="Arial" w:eastAsia="Arial" w:hAnsi="Arial" w:cs="Arial"/>
          <w:spacing w:val="-3"/>
        </w:rPr>
        <w:t>.</w:t>
      </w:r>
      <w:r w:rsidRPr="00515044">
        <w:rPr>
          <w:rFonts w:ascii="Arial" w:eastAsia="Arial" w:hAnsi="Arial" w:cs="Arial"/>
          <w:spacing w:val="-3"/>
        </w:rPr>
        <w:t xml:space="preserve">  </w:t>
      </w:r>
      <w:r w:rsidR="001A76D2">
        <w:rPr>
          <w:rFonts w:ascii="Arial" w:eastAsia="Arial" w:hAnsi="Arial" w:cs="Arial"/>
          <w:spacing w:val="-3"/>
        </w:rPr>
        <w:t xml:space="preserve">Floating </w:t>
      </w:r>
      <w:proofErr w:type="gramStart"/>
      <w:r w:rsidR="001A76D2">
        <w:rPr>
          <w:rFonts w:ascii="Arial" w:eastAsia="Arial" w:hAnsi="Arial" w:cs="Arial"/>
          <w:spacing w:val="-3"/>
        </w:rPr>
        <w:t>rate</w:t>
      </w:r>
      <w:proofErr w:type="gramEnd"/>
      <w:r w:rsidR="001A76D2">
        <w:rPr>
          <w:rFonts w:ascii="Arial" w:eastAsia="Arial" w:hAnsi="Arial" w:cs="Arial"/>
          <w:spacing w:val="-3"/>
        </w:rPr>
        <w:t xml:space="preserve"> note </w:t>
      </w:r>
      <w:r w:rsidR="00A10306">
        <w:rPr>
          <w:rFonts w:ascii="Arial" w:eastAsia="Arial" w:hAnsi="Arial" w:cs="Arial"/>
          <w:spacing w:val="-3"/>
        </w:rPr>
        <w:t>investments</w:t>
      </w:r>
      <w:r w:rsidR="001A76D2">
        <w:rPr>
          <w:rFonts w:ascii="Arial" w:eastAsia="Arial" w:hAnsi="Arial" w:cs="Arial"/>
          <w:spacing w:val="-3"/>
        </w:rPr>
        <w:t xml:space="preserve"> are included within this cap.</w:t>
      </w:r>
    </w:p>
    <w:p w14:paraId="2E72A6B7" w14:textId="6B5C128E" w:rsidR="00A673A2" w:rsidRPr="00515044" w:rsidRDefault="00607C0D" w:rsidP="00A673A2">
      <w:pPr>
        <w:spacing w:before="120"/>
        <w:ind w:right="53"/>
        <w:jc w:val="both"/>
        <w:rPr>
          <w:rFonts w:ascii="Arial" w:eastAsia="Arial" w:hAnsi="Arial" w:cs="Arial"/>
          <w:spacing w:val="-3"/>
        </w:rPr>
      </w:pPr>
      <w:r w:rsidRPr="00515044">
        <w:rPr>
          <w:rFonts w:ascii="Arial" w:eastAsia="Arial" w:hAnsi="Arial" w:cs="Arial"/>
          <w:spacing w:val="-3"/>
          <w:u w:val="single"/>
        </w:rPr>
        <w:t xml:space="preserve">Federal &amp; State </w:t>
      </w:r>
      <w:r w:rsidRPr="00442FB2">
        <w:rPr>
          <w:rFonts w:ascii="Arial" w:eastAsia="Arial" w:hAnsi="Arial" w:cs="Arial"/>
          <w:spacing w:val="-3"/>
          <w:u w:val="single"/>
        </w:rPr>
        <w:t>government bonds</w:t>
      </w:r>
      <w:r>
        <w:rPr>
          <w:rFonts w:ascii="Arial" w:eastAsia="Arial" w:hAnsi="Arial" w:cs="Arial"/>
          <w:spacing w:val="-3"/>
        </w:rPr>
        <w:t>- i</w:t>
      </w:r>
      <w:r w:rsidR="00A673A2" w:rsidRPr="00515044">
        <w:rPr>
          <w:rFonts w:ascii="Arial" w:eastAsia="Arial" w:hAnsi="Arial" w:cs="Arial"/>
          <w:spacing w:val="-3"/>
        </w:rPr>
        <w:t>nvestment</w:t>
      </w:r>
      <w:r>
        <w:rPr>
          <w:rFonts w:ascii="Arial" w:eastAsia="Arial" w:hAnsi="Arial" w:cs="Arial"/>
          <w:spacing w:val="-3"/>
        </w:rPr>
        <w:t xml:space="preserve"> amount is</w:t>
      </w:r>
      <w:r w:rsidR="00A673A2" w:rsidRPr="00515044">
        <w:rPr>
          <w:rFonts w:ascii="Arial" w:eastAsia="Arial" w:hAnsi="Arial" w:cs="Arial"/>
          <w:spacing w:val="-3"/>
        </w:rPr>
        <w:t xml:space="preserve"> unlimited but placed for a maximum term of </w:t>
      </w:r>
      <w:r w:rsidR="009319DA">
        <w:rPr>
          <w:rFonts w:ascii="Arial" w:eastAsia="Arial" w:hAnsi="Arial" w:cs="Arial"/>
          <w:spacing w:val="-3"/>
        </w:rPr>
        <w:t>5</w:t>
      </w:r>
      <w:r w:rsidR="00A673A2" w:rsidRPr="00515044">
        <w:rPr>
          <w:rFonts w:ascii="Arial" w:eastAsia="Arial" w:hAnsi="Arial" w:cs="Arial"/>
          <w:spacing w:val="-3"/>
        </w:rPr>
        <w:t xml:space="preserve"> years.  </w:t>
      </w:r>
    </w:p>
    <w:p w14:paraId="7F7289D3" w14:textId="31BC385A"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All investment types contribute to the total investment portfolio of Council and must fall within the percentage caps of each financial institution as prescribed below.</w:t>
      </w:r>
      <w:r w:rsidR="00B66709">
        <w:rPr>
          <w:rFonts w:ascii="Arial" w:eastAsia="Arial" w:hAnsi="Arial" w:cs="Arial"/>
          <w:spacing w:val="-3"/>
        </w:rPr>
        <w:t xml:space="preserve"> *Refer section Threshold requirements</w:t>
      </w:r>
    </w:p>
    <w:p w14:paraId="72F7A2B6" w14:textId="77777777" w:rsidR="00A673A2" w:rsidRPr="00515044" w:rsidRDefault="00A673A2" w:rsidP="00072C49">
      <w:pPr>
        <w:pStyle w:val="Heading1"/>
        <w:rPr>
          <w:rFonts w:ascii="Arial" w:eastAsia="Arial" w:hAnsi="Arial" w:cs="Arial"/>
          <w:color w:val="4472C4" w:themeColor="accent1"/>
          <w:spacing w:val="-3"/>
          <w:sz w:val="26"/>
          <w:szCs w:val="26"/>
        </w:rPr>
      </w:pPr>
      <w:r w:rsidRPr="00515044">
        <w:rPr>
          <w:rFonts w:ascii="Arial" w:eastAsia="Arial" w:hAnsi="Arial" w:cs="Arial"/>
          <w:color w:val="4472C4" w:themeColor="accent1"/>
          <w:spacing w:val="-3"/>
          <w:sz w:val="26"/>
          <w:szCs w:val="26"/>
        </w:rPr>
        <w:t>Minimum and maximum investments</w:t>
      </w:r>
    </w:p>
    <w:p w14:paraId="212A148F" w14:textId="4640D263" w:rsidR="00A673A2" w:rsidRPr="00515044" w:rsidRDefault="00A673A2" w:rsidP="00A673A2">
      <w:pPr>
        <w:jc w:val="both"/>
        <w:rPr>
          <w:rFonts w:ascii="Arial" w:eastAsia="Arial" w:hAnsi="Arial" w:cs="Arial"/>
          <w:b/>
          <w:color w:val="525252" w:themeColor="accent3" w:themeShade="80"/>
          <w:kern w:val="32"/>
          <w:lang w:val="en-US"/>
        </w:rPr>
      </w:pPr>
      <w:r w:rsidRPr="00515044">
        <w:rPr>
          <w:rFonts w:ascii="Arial" w:eastAsia="Arial" w:hAnsi="Arial" w:cs="Arial"/>
          <w:spacing w:val="-3"/>
        </w:rPr>
        <w:t xml:space="preserve">The minimum investment principal should exceed $1 </w:t>
      </w:r>
      <w:r w:rsidR="00C11904" w:rsidRPr="00515044">
        <w:rPr>
          <w:rFonts w:ascii="Arial" w:eastAsia="Arial" w:hAnsi="Arial" w:cs="Arial"/>
          <w:spacing w:val="-3"/>
        </w:rPr>
        <w:t>million</w:t>
      </w:r>
      <w:r w:rsidRPr="00515044">
        <w:rPr>
          <w:rFonts w:ascii="Arial" w:eastAsia="Arial" w:hAnsi="Arial" w:cs="Arial"/>
          <w:spacing w:val="-3"/>
        </w:rPr>
        <w:t xml:space="preserve">, but a single investment parcel should not exceed $5 million.  </w:t>
      </w:r>
      <w:bookmarkStart w:id="1" w:name="_Toc496704208"/>
      <w:bookmarkStart w:id="2" w:name="_Toc34749522"/>
    </w:p>
    <w:p w14:paraId="1AA7B3D1" w14:textId="77777777" w:rsidR="00B66709" w:rsidRDefault="00B66709" w:rsidP="00354490">
      <w:pPr>
        <w:pStyle w:val="Heading21"/>
      </w:pPr>
      <w:bookmarkStart w:id="3" w:name="_Toc104283413"/>
    </w:p>
    <w:p w14:paraId="6CC32D07" w14:textId="77777777" w:rsidR="00424D71" w:rsidRDefault="00424D71" w:rsidP="00354490">
      <w:pPr>
        <w:pStyle w:val="Heading21"/>
      </w:pPr>
      <w:bookmarkStart w:id="4" w:name="_Toc496704212"/>
      <w:bookmarkStart w:id="5" w:name="_Toc34749523"/>
      <w:bookmarkStart w:id="6" w:name="_Toc104283414"/>
      <w:bookmarkEnd w:id="1"/>
      <w:bookmarkEnd w:id="2"/>
      <w:bookmarkEnd w:id="3"/>
    </w:p>
    <w:p w14:paraId="118DE0B9" w14:textId="77777777" w:rsidR="00AC6E27" w:rsidRDefault="00AC6E27">
      <w:pPr>
        <w:rPr>
          <w:rFonts w:ascii="Arial" w:hAnsi="Arial" w:cs="Arial"/>
          <w:b/>
          <w:szCs w:val="20"/>
        </w:rPr>
      </w:pPr>
      <w:r>
        <w:br w:type="page"/>
      </w:r>
    </w:p>
    <w:p w14:paraId="4654E481" w14:textId="306AF035" w:rsidR="00A673A2" w:rsidRPr="00CE6338" w:rsidRDefault="00A673A2" w:rsidP="00354490">
      <w:pPr>
        <w:pStyle w:val="Heading21"/>
        <w:rPr>
          <w:i/>
        </w:rPr>
      </w:pPr>
      <w:r w:rsidRPr="00CE6338">
        <w:lastRenderedPageBreak/>
        <w:t>Threshold requirements</w:t>
      </w:r>
      <w:bookmarkEnd w:id="4"/>
      <w:bookmarkEnd w:id="5"/>
      <w:bookmarkEnd w:id="6"/>
    </w:p>
    <w:p w14:paraId="41CF0FD1"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Credit limits will differ depending on the investment term.  Investments that mature within 365 days are classified as short term.  </w:t>
      </w:r>
    </w:p>
    <w:p w14:paraId="3F9E8E6E"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Council reduces risk by limiting the maximum investments for each financial institution. </w:t>
      </w:r>
    </w:p>
    <w:p w14:paraId="40CAF311"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To achieve this, new investments shall not be placed with institutions if the total amount invested with one entity exceeds:</w:t>
      </w:r>
    </w:p>
    <w:tbl>
      <w:tblPr>
        <w:tblStyle w:val="TableGrid"/>
        <w:tblW w:w="9525" w:type="dxa"/>
        <w:tblLook w:val="04A0" w:firstRow="1" w:lastRow="0" w:firstColumn="1" w:lastColumn="0" w:noHBand="0" w:noVBand="1"/>
      </w:tblPr>
      <w:tblGrid>
        <w:gridCol w:w="1651"/>
        <w:gridCol w:w="1312"/>
        <w:gridCol w:w="1312"/>
        <w:gridCol w:w="1312"/>
        <w:gridCol w:w="1312"/>
        <w:gridCol w:w="1313"/>
        <w:gridCol w:w="1313"/>
      </w:tblGrid>
      <w:tr w:rsidR="00A673A2" w:rsidRPr="005D6722" w14:paraId="6D161ABD" w14:textId="77777777" w:rsidTr="00292216">
        <w:tc>
          <w:tcPr>
            <w:tcW w:w="1651" w:type="dxa"/>
          </w:tcPr>
          <w:p w14:paraId="44DBBC9A"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b/>
                <w:bCs/>
                <w:color w:val="000000"/>
              </w:rPr>
              <w:t>Individual Counterparty Limit</w:t>
            </w:r>
          </w:p>
        </w:tc>
        <w:tc>
          <w:tcPr>
            <w:tcW w:w="1312" w:type="dxa"/>
            <w:shd w:val="clear" w:color="auto" w:fill="FFF2CC" w:themeFill="accent4" w:themeFillTint="33"/>
          </w:tcPr>
          <w:p w14:paraId="3CDF293A"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b/>
                <w:bCs/>
                <w:color w:val="000000"/>
              </w:rPr>
              <w:t xml:space="preserve">S&amp;P </w:t>
            </w:r>
            <w:r w:rsidRPr="00515044">
              <w:rPr>
                <w:rFonts w:ascii="Arial" w:hAnsi="Arial" w:cs="Arial"/>
                <w:b/>
                <w:bCs/>
                <w:color w:val="000000"/>
              </w:rPr>
              <w:br/>
              <w:t xml:space="preserve">Long </w:t>
            </w:r>
            <w:r w:rsidRPr="00515044">
              <w:rPr>
                <w:rFonts w:ascii="Arial" w:hAnsi="Arial" w:cs="Arial"/>
                <w:b/>
                <w:bCs/>
                <w:color w:val="000000"/>
              </w:rPr>
              <w:br/>
              <w:t>Term</w:t>
            </w:r>
          </w:p>
        </w:tc>
        <w:tc>
          <w:tcPr>
            <w:tcW w:w="1312" w:type="dxa"/>
            <w:shd w:val="clear" w:color="auto" w:fill="FFF2CC" w:themeFill="accent4" w:themeFillTint="33"/>
          </w:tcPr>
          <w:p w14:paraId="583D6245"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b/>
                <w:bCs/>
                <w:color w:val="000000"/>
              </w:rPr>
              <w:t xml:space="preserve">S&amp;P </w:t>
            </w:r>
            <w:r w:rsidRPr="00515044">
              <w:rPr>
                <w:rFonts w:ascii="Arial" w:hAnsi="Arial" w:cs="Arial"/>
                <w:b/>
                <w:bCs/>
                <w:color w:val="000000"/>
              </w:rPr>
              <w:br/>
              <w:t xml:space="preserve">Short </w:t>
            </w:r>
            <w:r w:rsidRPr="00515044">
              <w:rPr>
                <w:rFonts w:ascii="Arial" w:hAnsi="Arial" w:cs="Arial"/>
                <w:b/>
                <w:bCs/>
                <w:color w:val="000000"/>
              </w:rPr>
              <w:br/>
              <w:t>Term</w:t>
            </w:r>
          </w:p>
        </w:tc>
        <w:tc>
          <w:tcPr>
            <w:tcW w:w="1312" w:type="dxa"/>
            <w:shd w:val="clear" w:color="auto" w:fill="EDEDED" w:themeFill="accent3" w:themeFillTint="33"/>
          </w:tcPr>
          <w:p w14:paraId="45EFE6DB" w14:textId="77777777" w:rsidR="00A673A2" w:rsidRPr="00515044" w:rsidRDefault="00A673A2" w:rsidP="00292216">
            <w:pPr>
              <w:spacing w:before="120"/>
              <w:ind w:right="53"/>
              <w:rPr>
                <w:rFonts w:ascii="Arial" w:eastAsia="Arial" w:hAnsi="Arial" w:cs="Arial"/>
                <w:spacing w:val="-3"/>
              </w:rPr>
            </w:pPr>
            <w:proofErr w:type="spellStart"/>
            <w:r w:rsidRPr="00515044">
              <w:rPr>
                <w:rFonts w:ascii="Arial" w:hAnsi="Arial" w:cs="Arial"/>
                <w:b/>
                <w:bCs/>
                <w:color w:val="000000"/>
              </w:rPr>
              <w:t>Moodys</w:t>
            </w:r>
            <w:proofErr w:type="spellEnd"/>
            <w:r w:rsidRPr="00515044">
              <w:rPr>
                <w:rFonts w:ascii="Arial" w:hAnsi="Arial" w:cs="Arial"/>
                <w:b/>
                <w:bCs/>
                <w:color w:val="000000"/>
              </w:rPr>
              <w:t xml:space="preserve"> </w:t>
            </w:r>
            <w:r w:rsidRPr="00515044">
              <w:rPr>
                <w:rFonts w:ascii="Arial" w:hAnsi="Arial" w:cs="Arial"/>
                <w:b/>
                <w:bCs/>
                <w:color w:val="000000"/>
              </w:rPr>
              <w:br/>
              <w:t xml:space="preserve">Long </w:t>
            </w:r>
            <w:r w:rsidRPr="00515044">
              <w:rPr>
                <w:rFonts w:ascii="Arial" w:hAnsi="Arial" w:cs="Arial"/>
                <w:b/>
                <w:bCs/>
                <w:color w:val="000000"/>
              </w:rPr>
              <w:br/>
              <w:t>Term</w:t>
            </w:r>
          </w:p>
        </w:tc>
        <w:tc>
          <w:tcPr>
            <w:tcW w:w="1312" w:type="dxa"/>
            <w:shd w:val="clear" w:color="auto" w:fill="EDEDED" w:themeFill="accent3" w:themeFillTint="33"/>
          </w:tcPr>
          <w:p w14:paraId="1F7827B8" w14:textId="77777777" w:rsidR="00A673A2" w:rsidRPr="00515044" w:rsidRDefault="00A673A2" w:rsidP="00292216">
            <w:pPr>
              <w:spacing w:before="120"/>
              <w:ind w:right="53"/>
              <w:rPr>
                <w:rFonts w:ascii="Arial" w:eastAsia="Arial" w:hAnsi="Arial" w:cs="Arial"/>
                <w:spacing w:val="-3"/>
              </w:rPr>
            </w:pPr>
            <w:proofErr w:type="spellStart"/>
            <w:r w:rsidRPr="00515044">
              <w:rPr>
                <w:rFonts w:ascii="Arial" w:hAnsi="Arial" w:cs="Arial"/>
                <w:b/>
                <w:bCs/>
                <w:color w:val="000000"/>
              </w:rPr>
              <w:t>Moodys</w:t>
            </w:r>
            <w:proofErr w:type="spellEnd"/>
            <w:r w:rsidRPr="00515044">
              <w:rPr>
                <w:rFonts w:ascii="Arial" w:hAnsi="Arial" w:cs="Arial"/>
                <w:b/>
                <w:bCs/>
                <w:color w:val="000000"/>
              </w:rPr>
              <w:t xml:space="preserve"> </w:t>
            </w:r>
            <w:r w:rsidRPr="00515044">
              <w:rPr>
                <w:rFonts w:ascii="Arial" w:hAnsi="Arial" w:cs="Arial"/>
                <w:b/>
                <w:bCs/>
                <w:color w:val="000000"/>
              </w:rPr>
              <w:br/>
              <w:t xml:space="preserve">Short </w:t>
            </w:r>
            <w:r w:rsidRPr="00515044">
              <w:rPr>
                <w:rFonts w:ascii="Arial" w:hAnsi="Arial" w:cs="Arial"/>
                <w:b/>
                <w:bCs/>
                <w:color w:val="000000"/>
              </w:rPr>
              <w:br/>
              <w:t>Term</w:t>
            </w:r>
          </w:p>
        </w:tc>
        <w:tc>
          <w:tcPr>
            <w:tcW w:w="1313" w:type="dxa"/>
            <w:shd w:val="clear" w:color="auto" w:fill="FBE4D5" w:themeFill="accent2" w:themeFillTint="33"/>
          </w:tcPr>
          <w:p w14:paraId="5F986E3F"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b/>
                <w:bCs/>
                <w:color w:val="000000"/>
              </w:rPr>
              <w:t xml:space="preserve">Fitch </w:t>
            </w:r>
            <w:r w:rsidRPr="00515044">
              <w:rPr>
                <w:rFonts w:ascii="Arial" w:hAnsi="Arial" w:cs="Arial"/>
                <w:b/>
                <w:bCs/>
                <w:color w:val="000000"/>
              </w:rPr>
              <w:br/>
              <w:t xml:space="preserve">Long </w:t>
            </w:r>
            <w:r w:rsidRPr="00515044">
              <w:rPr>
                <w:rFonts w:ascii="Arial" w:hAnsi="Arial" w:cs="Arial"/>
                <w:b/>
                <w:bCs/>
                <w:color w:val="000000"/>
              </w:rPr>
              <w:br/>
              <w:t>Term</w:t>
            </w:r>
          </w:p>
        </w:tc>
        <w:tc>
          <w:tcPr>
            <w:tcW w:w="1313" w:type="dxa"/>
            <w:shd w:val="clear" w:color="auto" w:fill="FBE4D5" w:themeFill="accent2" w:themeFillTint="33"/>
          </w:tcPr>
          <w:p w14:paraId="75CA4DC3"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b/>
                <w:bCs/>
                <w:color w:val="000000"/>
              </w:rPr>
              <w:t xml:space="preserve">Fitch </w:t>
            </w:r>
            <w:r w:rsidRPr="00515044">
              <w:rPr>
                <w:rFonts w:ascii="Arial" w:hAnsi="Arial" w:cs="Arial"/>
                <w:b/>
                <w:bCs/>
                <w:color w:val="000000"/>
              </w:rPr>
              <w:br/>
              <w:t xml:space="preserve">Short </w:t>
            </w:r>
            <w:r w:rsidRPr="00515044">
              <w:rPr>
                <w:rFonts w:ascii="Arial" w:hAnsi="Arial" w:cs="Arial"/>
                <w:b/>
                <w:bCs/>
                <w:color w:val="000000"/>
              </w:rPr>
              <w:br/>
              <w:t>Term</w:t>
            </w:r>
          </w:p>
        </w:tc>
      </w:tr>
      <w:tr w:rsidR="00A673A2" w:rsidRPr="005D6722" w14:paraId="6D87C91C" w14:textId="77777777" w:rsidTr="00292216">
        <w:tc>
          <w:tcPr>
            <w:tcW w:w="1651" w:type="dxa"/>
            <w:vAlign w:val="bottom"/>
          </w:tcPr>
          <w:p w14:paraId="040CA9E4" w14:textId="77777777" w:rsidR="00A673A2" w:rsidRPr="00515044" w:rsidRDefault="00A673A2" w:rsidP="00292216">
            <w:pPr>
              <w:spacing w:before="120"/>
              <w:ind w:right="53"/>
              <w:rPr>
                <w:rFonts w:ascii="Arial" w:eastAsia="Arial" w:hAnsi="Arial" w:cs="Arial"/>
                <w:b/>
                <w:bCs/>
                <w:spacing w:val="-3"/>
              </w:rPr>
            </w:pPr>
            <w:r w:rsidRPr="00515044">
              <w:rPr>
                <w:rFonts w:ascii="Arial" w:hAnsi="Arial" w:cs="Arial"/>
                <w:b/>
                <w:bCs/>
                <w:color w:val="000000"/>
              </w:rPr>
              <w:t>40%</w:t>
            </w:r>
          </w:p>
        </w:tc>
        <w:tc>
          <w:tcPr>
            <w:tcW w:w="1312" w:type="dxa"/>
            <w:shd w:val="clear" w:color="auto" w:fill="FFF2CC" w:themeFill="accent4" w:themeFillTint="33"/>
            <w:vAlign w:val="bottom"/>
          </w:tcPr>
          <w:p w14:paraId="74DE5296"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color w:val="000000"/>
              </w:rPr>
              <w:t>A+ or above</w:t>
            </w:r>
          </w:p>
        </w:tc>
        <w:tc>
          <w:tcPr>
            <w:tcW w:w="1312" w:type="dxa"/>
            <w:shd w:val="clear" w:color="auto" w:fill="FFF2CC" w:themeFill="accent4" w:themeFillTint="33"/>
            <w:vAlign w:val="bottom"/>
          </w:tcPr>
          <w:p w14:paraId="10133EA1"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A-1</w:t>
            </w:r>
          </w:p>
        </w:tc>
        <w:tc>
          <w:tcPr>
            <w:tcW w:w="1312" w:type="dxa"/>
            <w:shd w:val="clear" w:color="auto" w:fill="EDEDED" w:themeFill="accent3" w:themeFillTint="33"/>
          </w:tcPr>
          <w:p w14:paraId="4D565CF6"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A1 or above</w:t>
            </w:r>
          </w:p>
        </w:tc>
        <w:tc>
          <w:tcPr>
            <w:tcW w:w="1312" w:type="dxa"/>
            <w:shd w:val="clear" w:color="auto" w:fill="EDEDED" w:themeFill="accent3" w:themeFillTint="33"/>
          </w:tcPr>
          <w:p w14:paraId="0539253C"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P-1 (Prime 1)</w:t>
            </w:r>
          </w:p>
        </w:tc>
        <w:tc>
          <w:tcPr>
            <w:tcW w:w="1313" w:type="dxa"/>
            <w:shd w:val="clear" w:color="auto" w:fill="FBE4D5" w:themeFill="accent2" w:themeFillTint="33"/>
          </w:tcPr>
          <w:p w14:paraId="7C56166E"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A+ or above</w:t>
            </w:r>
          </w:p>
        </w:tc>
        <w:tc>
          <w:tcPr>
            <w:tcW w:w="1313" w:type="dxa"/>
            <w:shd w:val="clear" w:color="auto" w:fill="FBE4D5" w:themeFill="accent2" w:themeFillTint="33"/>
          </w:tcPr>
          <w:p w14:paraId="0DA77D8A"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F1/F1+</w:t>
            </w:r>
          </w:p>
        </w:tc>
      </w:tr>
      <w:tr w:rsidR="00A673A2" w:rsidRPr="005D6722" w14:paraId="7860432F" w14:textId="77777777" w:rsidTr="00292216">
        <w:tc>
          <w:tcPr>
            <w:tcW w:w="1651" w:type="dxa"/>
            <w:vAlign w:val="bottom"/>
          </w:tcPr>
          <w:p w14:paraId="0D3B16EF" w14:textId="77777777" w:rsidR="00A673A2" w:rsidRPr="00515044" w:rsidRDefault="00A673A2" w:rsidP="00292216">
            <w:pPr>
              <w:spacing w:before="120"/>
              <w:ind w:right="53"/>
              <w:rPr>
                <w:rFonts w:ascii="Arial" w:eastAsia="Arial" w:hAnsi="Arial" w:cs="Arial"/>
                <w:b/>
                <w:bCs/>
                <w:spacing w:val="-3"/>
              </w:rPr>
            </w:pPr>
            <w:r w:rsidRPr="00515044">
              <w:rPr>
                <w:rFonts w:ascii="Arial" w:hAnsi="Arial" w:cs="Arial"/>
                <w:b/>
                <w:bCs/>
                <w:color w:val="000000"/>
              </w:rPr>
              <w:t>20%</w:t>
            </w:r>
          </w:p>
        </w:tc>
        <w:tc>
          <w:tcPr>
            <w:tcW w:w="1312" w:type="dxa"/>
            <w:shd w:val="clear" w:color="auto" w:fill="FFF2CC" w:themeFill="accent4" w:themeFillTint="33"/>
            <w:vAlign w:val="bottom"/>
          </w:tcPr>
          <w:p w14:paraId="2EEB87B2" w14:textId="77777777" w:rsidR="00A673A2" w:rsidRPr="00515044" w:rsidRDefault="00A673A2" w:rsidP="00292216">
            <w:pPr>
              <w:rPr>
                <w:rFonts w:ascii="Arial" w:hAnsi="Arial" w:cs="Arial"/>
                <w:color w:val="000000"/>
              </w:rPr>
            </w:pPr>
          </w:p>
          <w:p w14:paraId="1CC18C56"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color w:val="000000"/>
              </w:rPr>
              <w:t>A to BBB+</w:t>
            </w:r>
          </w:p>
        </w:tc>
        <w:tc>
          <w:tcPr>
            <w:tcW w:w="1312" w:type="dxa"/>
            <w:shd w:val="clear" w:color="auto" w:fill="FFF2CC" w:themeFill="accent4" w:themeFillTint="33"/>
            <w:vAlign w:val="bottom"/>
          </w:tcPr>
          <w:p w14:paraId="48317C75"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A-2</w:t>
            </w:r>
          </w:p>
        </w:tc>
        <w:tc>
          <w:tcPr>
            <w:tcW w:w="1312" w:type="dxa"/>
            <w:shd w:val="clear" w:color="auto" w:fill="EDEDED" w:themeFill="accent3" w:themeFillTint="33"/>
          </w:tcPr>
          <w:p w14:paraId="2D807DB4"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A2 to Baa1</w:t>
            </w:r>
          </w:p>
        </w:tc>
        <w:tc>
          <w:tcPr>
            <w:tcW w:w="1312" w:type="dxa"/>
            <w:shd w:val="clear" w:color="auto" w:fill="EDEDED" w:themeFill="accent3" w:themeFillTint="33"/>
          </w:tcPr>
          <w:p w14:paraId="35633D21"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P-2 (Prime 2) to P-1</w:t>
            </w:r>
          </w:p>
        </w:tc>
        <w:tc>
          <w:tcPr>
            <w:tcW w:w="1313" w:type="dxa"/>
            <w:shd w:val="clear" w:color="auto" w:fill="FBE4D5" w:themeFill="accent2" w:themeFillTint="33"/>
          </w:tcPr>
          <w:p w14:paraId="3B2CF38E"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A to BBB+</w:t>
            </w:r>
          </w:p>
        </w:tc>
        <w:tc>
          <w:tcPr>
            <w:tcW w:w="1313" w:type="dxa"/>
            <w:shd w:val="clear" w:color="auto" w:fill="FBE4D5" w:themeFill="accent2" w:themeFillTint="33"/>
          </w:tcPr>
          <w:p w14:paraId="46885CE3"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F1 to F2</w:t>
            </w:r>
          </w:p>
        </w:tc>
      </w:tr>
      <w:tr w:rsidR="00A673A2" w:rsidRPr="005D6722" w14:paraId="399639C2" w14:textId="77777777" w:rsidTr="00292216">
        <w:tc>
          <w:tcPr>
            <w:tcW w:w="1651" w:type="dxa"/>
            <w:vAlign w:val="bottom"/>
          </w:tcPr>
          <w:p w14:paraId="1FFE504C" w14:textId="77777777" w:rsidR="00A673A2" w:rsidRPr="00515044" w:rsidRDefault="00A673A2" w:rsidP="00292216">
            <w:pPr>
              <w:spacing w:before="120"/>
              <w:ind w:right="53"/>
              <w:rPr>
                <w:rFonts w:ascii="Arial" w:eastAsia="Arial" w:hAnsi="Arial" w:cs="Arial"/>
                <w:b/>
                <w:bCs/>
                <w:spacing w:val="-3"/>
              </w:rPr>
            </w:pPr>
            <w:r w:rsidRPr="00515044">
              <w:rPr>
                <w:rFonts w:ascii="Arial" w:hAnsi="Arial" w:cs="Arial"/>
                <w:b/>
                <w:bCs/>
                <w:color w:val="000000"/>
              </w:rPr>
              <w:t>30%</w:t>
            </w:r>
          </w:p>
        </w:tc>
        <w:tc>
          <w:tcPr>
            <w:tcW w:w="1312" w:type="dxa"/>
            <w:shd w:val="clear" w:color="auto" w:fill="FFF2CC" w:themeFill="accent4" w:themeFillTint="33"/>
            <w:vAlign w:val="bottom"/>
          </w:tcPr>
          <w:p w14:paraId="7A5B2E93" w14:textId="77777777" w:rsidR="00A673A2" w:rsidRPr="00515044" w:rsidRDefault="00A673A2" w:rsidP="00292216">
            <w:pPr>
              <w:rPr>
                <w:rFonts w:ascii="Arial" w:hAnsi="Arial" w:cs="Arial"/>
                <w:color w:val="000000"/>
              </w:rPr>
            </w:pPr>
            <w:r w:rsidRPr="00515044">
              <w:rPr>
                <w:rFonts w:ascii="Arial" w:hAnsi="Arial" w:cs="Arial"/>
                <w:color w:val="000000"/>
              </w:rPr>
              <w:t xml:space="preserve">A to BBB+ </w:t>
            </w:r>
          </w:p>
          <w:p w14:paraId="1716BBBC"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color w:val="000000"/>
              </w:rPr>
              <w:t>*CSR special</w:t>
            </w:r>
          </w:p>
        </w:tc>
        <w:tc>
          <w:tcPr>
            <w:tcW w:w="1312" w:type="dxa"/>
            <w:shd w:val="clear" w:color="auto" w:fill="FFF2CC" w:themeFill="accent4" w:themeFillTint="33"/>
            <w:vAlign w:val="bottom"/>
          </w:tcPr>
          <w:p w14:paraId="5E2CD85D" w14:textId="77777777" w:rsidR="00A673A2" w:rsidRPr="00515044" w:rsidRDefault="00A673A2" w:rsidP="00292216">
            <w:pPr>
              <w:rPr>
                <w:rFonts w:ascii="Arial" w:hAnsi="Arial" w:cs="Arial"/>
                <w:color w:val="000000"/>
              </w:rPr>
            </w:pPr>
            <w:r w:rsidRPr="00515044">
              <w:rPr>
                <w:rFonts w:ascii="Arial" w:hAnsi="Arial" w:cs="Arial"/>
                <w:color w:val="000000"/>
              </w:rPr>
              <w:t>A-2</w:t>
            </w:r>
          </w:p>
          <w:p w14:paraId="7975430B" w14:textId="77777777" w:rsidR="00A673A2" w:rsidRPr="00515044" w:rsidRDefault="00A673A2" w:rsidP="00292216">
            <w:pPr>
              <w:spacing w:before="120"/>
              <w:ind w:right="53"/>
              <w:rPr>
                <w:rFonts w:ascii="Arial" w:eastAsia="Arial" w:hAnsi="Arial" w:cs="Arial"/>
                <w:spacing w:val="-3"/>
              </w:rPr>
            </w:pPr>
            <w:r w:rsidRPr="00515044">
              <w:rPr>
                <w:rFonts w:ascii="Arial" w:hAnsi="Arial" w:cs="Arial"/>
                <w:color w:val="000000"/>
              </w:rPr>
              <w:t>*CSR special</w:t>
            </w:r>
          </w:p>
        </w:tc>
        <w:tc>
          <w:tcPr>
            <w:tcW w:w="1312" w:type="dxa"/>
            <w:shd w:val="clear" w:color="auto" w:fill="EDEDED" w:themeFill="accent3" w:themeFillTint="33"/>
          </w:tcPr>
          <w:p w14:paraId="229A0657"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A2 to Baa1</w:t>
            </w:r>
          </w:p>
          <w:p w14:paraId="09F20F80"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*CSR special</w:t>
            </w:r>
          </w:p>
        </w:tc>
        <w:tc>
          <w:tcPr>
            <w:tcW w:w="1312" w:type="dxa"/>
            <w:shd w:val="clear" w:color="auto" w:fill="EDEDED" w:themeFill="accent3" w:themeFillTint="33"/>
          </w:tcPr>
          <w:p w14:paraId="26495773"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P-2 (Prime 2) to P-1</w:t>
            </w:r>
          </w:p>
          <w:p w14:paraId="66ACA839"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*CSR special</w:t>
            </w:r>
          </w:p>
        </w:tc>
        <w:tc>
          <w:tcPr>
            <w:tcW w:w="1313" w:type="dxa"/>
            <w:shd w:val="clear" w:color="auto" w:fill="FBE4D5" w:themeFill="accent2" w:themeFillTint="33"/>
          </w:tcPr>
          <w:p w14:paraId="08BE7D8F"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A to BBB+</w:t>
            </w:r>
          </w:p>
          <w:p w14:paraId="0EE38B2D"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*CSR special</w:t>
            </w:r>
          </w:p>
        </w:tc>
        <w:tc>
          <w:tcPr>
            <w:tcW w:w="1313" w:type="dxa"/>
            <w:shd w:val="clear" w:color="auto" w:fill="FBE4D5" w:themeFill="accent2" w:themeFillTint="33"/>
          </w:tcPr>
          <w:p w14:paraId="4A5F07FA"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F1 to F2</w:t>
            </w:r>
          </w:p>
          <w:p w14:paraId="3AC1D85D" w14:textId="77777777" w:rsidR="00A673A2" w:rsidRPr="00515044" w:rsidRDefault="00A673A2" w:rsidP="00292216">
            <w:pPr>
              <w:spacing w:before="120"/>
              <w:ind w:right="53"/>
              <w:rPr>
                <w:rFonts w:ascii="Arial" w:eastAsia="Arial" w:hAnsi="Arial" w:cs="Arial"/>
                <w:spacing w:val="-3"/>
              </w:rPr>
            </w:pPr>
            <w:r w:rsidRPr="00515044">
              <w:rPr>
                <w:rFonts w:ascii="Arial" w:eastAsia="Arial" w:hAnsi="Arial" w:cs="Arial"/>
                <w:spacing w:val="-3"/>
              </w:rPr>
              <w:t>*CSR special</w:t>
            </w:r>
          </w:p>
        </w:tc>
      </w:tr>
    </w:tbl>
    <w:p w14:paraId="53329660" w14:textId="77777777" w:rsidR="00A673A2" w:rsidRPr="00515044" w:rsidRDefault="00A673A2" w:rsidP="00A673A2">
      <w:pPr>
        <w:spacing w:after="0"/>
        <w:rPr>
          <w:rFonts w:ascii="Arial" w:eastAsia="Arial" w:hAnsi="Arial" w:cs="Arial"/>
          <w:spacing w:val="-3"/>
          <w:sz w:val="20"/>
          <w:szCs w:val="20"/>
        </w:rPr>
      </w:pPr>
      <w:r w:rsidRPr="00515044">
        <w:rPr>
          <w:rFonts w:ascii="Arial" w:eastAsia="Arial" w:hAnsi="Arial" w:cs="Arial"/>
          <w:spacing w:val="-3"/>
          <w:sz w:val="20"/>
          <w:szCs w:val="20"/>
        </w:rPr>
        <w:t xml:space="preserve"> </w:t>
      </w:r>
    </w:p>
    <w:p w14:paraId="56BFC4FA" w14:textId="77777777" w:rsidR="00A673A2" w:rsidRPr="00515044" w:rsidRDefault="00A673A2" w:rsidP="00A673A2">
      <w:pPr>
        <w:spacing w:after="0"/>
        <w:jc w:val="both"/>
        <w:rPr>
          <w:rFonts w:ascii="Arial" w:eastAsia="Arial" w:hAnsi="Arial" w:cs="Arial"/>
          <w:spacing w:val="-3"/>
        </w:rPr>
      </w:pPr>
      <w:r w:rsidRPr="00515044">
        <w:rPr>
          <w:rFonts w:ascii="Arial" w:eastAsia="Arial" w:hAnsi="Arial" w:cs="Arial"/>
          <w:spacing w:val="-3"/>
        </w:rPr>
        <w:t>The CSR special is granted to investments that have proven alignment with Council’s environmental and social sustainability commitment.  Investment products will be recommended by Chief Financial Officer (CFO) for CSR category and endorsed by General Manager, Operations &amp; Infrastructure.</w:t>
      </w:r>
    </w:p>
    <w:p w14:paraId="15F49E70" w14:textId="77777777" w:rsidR="00A673A2" w:rsidRPr="00515044" w:rsidRDefault="00A673A2" w:rsidP="00A673A2">
      <w:pPr>
        <w:spacing w:after="0"/>
        <w:jc w:val="both"/>
        <w:rPr>
          <w:rFonts w:ascii="Arial" w:eastAsia="Arial" w:hAnsi="Arial" w:cs="Arial"/>
          <w:spacing w:val="-3"/>
        </w:rPr>
      </w:pPr>
      <w:r w:rsidRPr="00515044">
        <w:rPr>
          <w:rFonts w:ascii="Arial" w:eastAsia="Arial" w:hAnsi="Arial" w:cs="Arial"/>
          <w:spacing w:val="-3"/>
        </w:rPr>
        <w:t>The counterparty limits apply to the combined percentage hold in long and short-term investments.</w:t>
      </w:r>
    </w:p>
    <w:p w14:paraId="646EEC94" w14:textId="77777777" w:rsidR="00A673A2" w:rsidRPr="00515044" w:rsidRDefault="00A673A2" w:rsidP="00A673A2">
      <w:pPr>
        <w:spacing w:after="0"/>
        <w:jc w:val="both"/>
        <w:rPr>
          <w:rFonts w:ascii="Arial" w:eastAsia="Arial" w:hAnsi="Arial" w:cs="Arial"/>
          <w:spacing w:val="-3"/>
        </w:rPr>
      </w:pPr>
    </w:p>
    <w:p w14:paraId="0E76C4F5" w14:textId="77777777" w:rsidR="00A673A2" w:rsidRPr="00515044" w:rsidRDefault="00A673A2" w:rsidP="002D03CB">
      <w:pPr>
        <w:pStyle w:val="Heading1"/>
        <w:rPr>
          <w:rFonts w:ascii="Arial" w:eastAsia="Arial" w:hAnsi="Arial" w:cs="Arial"/>
          <w:color w:val="4472C4" w:themeColor="accent1"/>
          <w:spacing w:val="-3"/>
          <w:sz w:val="26"/>
          <w:szCs w:val="26"/>
        </w:rPr>
      </w:pPr>
      <w:bookmarkStart w:id="7" w:name="_Toc496704213"/>
      <w:r w:rsidRPr="00515044">
        <w:rPr>
          <w:rFonts w:ascii="Arial" w:eastAsia="Arial" w:hAnsi="Arial" w:cs="Arial"/>
          <w:color w:val="4472C4" w:themeColor="accent1"/>
          <w:spacing w:val="-3"/>
          <w:sz w:val="26"/>
          <w:szCs w:val="26"/>
        </w:rPr>
        <w:t>Threshold for operational cash and At-Call cash holdings</w:t>
      </w:r>
      <w:bookmarkEnd w:id="7"/>
    </w:p>
    <w:p w14:paraId="7D6EA0A6"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At-Call (11am) holdings are considered an investment as the deposit is an exposure to the bank.  As such, these balances are included in credit concentration limits.  </w:t>
      </w:r>
    </w:p>
    <w:p w14:paraId="1816029C"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Operational cash accounts are not included in credit concentration limits.  Council's operational account balances are actively managed and hold sufficient funds to meet immediate cash flow requirements only.</w:t>
      </w:r>
    </w:p>
    <w:p w14:paraId="782F61C0" w14:textId="56DD9F6F" w:rsidR="00A673A2" w:rsidRPr="00515044" w:rsidRDefault="00A673A2" w:rsidP="002D03CB">
      <w:pPr>
        <w:pStyle w:val="Heading1"/>
        <w:rPr>
          <w:rFonts w:ascii="Arial" w:eastAsia="Arial" w:hAnsi="Arial" w:cs="Arial"/>
          <w:color w:val="4472C4" w:themeColor="accent1"/>
          <w:spacing w:val="-3"/>
          <w:sz w:val="26"/>
          <w:szCs w:val="26"/>
        </w:rPr>
      </w:pPr>
      <w:bookmarkStart w:id="8" w:name="_Toc496704214"/>
      <w:r w:rsidRPr="00515044">
        <w:rPr>
          <w:rFonts w:ascii="Arial" w:eastAsia="Arial" w:hAnsi="Arial" w:cs="Arial"/>
          <w:color w:val="4472C4" w:themeColor="accent1"/>
          <w:spacing w:val="-3"/>
          <w:sz w:val="26"/>
          <w:szCs w:val="26"/>
        </w:rPr>
        <w:t>Exceeded investment thresholds</w:t>
      </w:r>
      <w:bookmarkEnd w:id="8"/>
      <w:r w:rsidRPr="00515044">
        <w:rPr>
          <w:rFonts w:ascii="Arial" w:eastAsia="Arial" w:hAnsi="Arial" w:cs="Arial"/>
          <w:color w:val="4472C4" w:themeColor="accent1"/>
          <w:spacing w:val="-3"/>
          <w:sz w:val="26"/>
          <w:szCs w:val="26"/>
        </w:rPr>
        <w:t xml:space="preserve"> </w:t>
      </w:r>
    </w:p>
    <w:p w14:paraId="4CC5FDB5" w14:textId="6C10F0DE"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Investment threshold limits may be exceeded when investments are redeemed to fund cash flow and there is limited capacity to rebalance the portfolio.  All new investments must be placed </w:t>
      </w:r>
      <w:r w:rsidR="009D5FDA">
        <w:rPr>
          <w:rFonts w:ascii="Arial" w:eastAsia="Arial" w:hAnsi="Arial" w:cs="Arial"/>
          <w:spacing w:val="-3"/>
        </w:rPr>
        <w:t xml:space="preserve">to </w:t>
      </w:r>
      <w:r w:rsidRPr="00515044">
        <w:rPr>
          <w:rFonts w:ascii="Arial" w:eastAsia="Arial" w:hAnsi="Arial" w:cs="Arial"/>
          <w:spacing w:val="-3"/>
        </w:rPr>
        <w:t>rebalance</w:t>
      </w:r>
      <w:r w:rsidR="00333A88">
        <w:rPr>
          <w:rFonts w:ascii="Arial" w:eastAsia="Arial" w:hAnsi="Arial" w:cs="Arial"/>
          <w:spacing w:val="-3"/>
        </w:rPr>
        <w:t xml:space="preserve"> the above thresholds </w:t>
      </w:r>
      <w:r w:rsidRPr="00515044">
        <w:rPr>
          <w:rFonts w:ascii="Arial" w:eastAsia="Arial" w:hAnsi="Arial" w:cs="Arial"/>
          <w:spacing w:val="-3"/>
        </w:rPr>
        <w:t>as soon as practical.</w:t>
      </w:r>
    </w:p>
    <w:p w14:paraId="62A2E570" w14:textId="44C77FC8"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If thresholds are exceeded when placing an investment, Council will take steps to rebalance the portfolio within 60 days to ensure that all investments adhere to the above threshold limits, taking into consideration risk, </w:t>
      </w:r>
      <w:r w:rsidR="00333A88" w:rsidRPr="00333A88">
        <w:rPr>
          <w:rFonts w:ascii="Arial" w:eastAsia="Arial" w:hAnsi="Arial" w:cs="Arial"/>
          <w:spacing w:val="-3"/>
        </w:rPr>
        <w:t>penalties,</w:t>
      </w:r>
      <w:r w:rsidRPr="00515044">
        <w:rPr>
          <w:rFonts w:ascii="Arial" w:eastAsia="Arial" w:hAnsi="Arial" w:cs="Arial"/>
          <w:spacing w:val="-3"/>
        </w:rPr>
        <w:t xml:space="preserve"> and lost interest.</w:t>
      </w:r>
      <w:bookmarkStart w:id="9" w:name="_Toc496704215"/>
      <w:bookmarkStart w:id="10" w:name="_Toc34749524"/>
    </w:p>
    <w:p w14:paraId="3FC77DEE" w14:textId="77777777" w:rsidR="00333A88" w:rsidRDefault="00333A88" w:rsidP="00424D71">
      <w:pPr>
        <w:pStyle w:val="Heading21"/>
      </w:pPr>
      <w:bookmarkStart w:id="11" w:name="_Toc496704209"/>
    </w:p>
    <w:p w14:paraId="4610E4AA" w14:textId="77777777" w:rsidR="00333A88" w:rsidRDefault="00333A88" w:rsidP="00424D71">
      <w:pPr>
        <w:pStyle w:val="Heading21"/>
      </w:pPr>
    </w:p>
    <w:p w14:paraId="1833D9D8" w14:textId="77777777" w:rsidR="000E652F" w:rsidRDefault="000E652F">
      <w:pPr>
        <w:rPr>
          <w:rFonts w:ascii="Arial" w:hAnsi="Arial" w:cs="Arial"/>
          <w:b/>
          <w:szCs w:val="20"/>
        </w:rPr>
      </w:pPr>
      <w:r>
        <w:br w:type="page"/>
      </w:r>
    </w:p>
    <w:p w14:paraId="2050BEE2" w14:textId="3A743C23" w:rsidR="00424D71" w:rsidRPr="00515044" w:rsidRDefault="00424D71" w:rsidP="00424D71">
      <w:pPr>
        <w:pStyle w:val="Heading21"/>
        <w:rPr>
          <w:i/>
        </w:rPr>
      </w:pPr>
      <w:r w:rsidRPr="00515044">
        <w:lastRenderedPageBreak/>
        <w:t>Treatment of subsidiaries</w:t>
      </w:r>
      <w:bookmarkEnd w:id="11"/>
    </w:p>
    <w:p w14:paraId="54B7B925" w14:textId="563AE5C4" w:rsidR="00424D71" w:rsidRPr="00515044" w:rsidRDefault="00424D71" w:rsidP="00424D71">
      <w:pPr>
        <w:spacing w:before="120"/>
        <w:ind w:right="53"/>
        <w:jc w:val="both"/>
        <w:rPr>
          <w:rFonts w:ascii="Arial" w:eastAsia="Arial" w:hAnsi="Arial" w:cs="Arial"/>
          <w:spacing w:val="-3"/>
        </w:rPr>
      </w:pPr>
      <w:r w:rsidRPr="00515044">
        <w:rPr>
          <w:rFonts w:ascii="Arial" w:eastAsia="Arial" w:hAnsi="Arial" w:cs="Arial"/>
          <w:spacing w:val="-3"/>
        </w:rPr>
        <w:t xml:space="preserve">Where Council invests with institutions that have multiple subsidiaries, they need to be treated as a single entity, </w:t>
      </w:r>
      <w:r w:rsidR="00CF048A">
        <w:rPr>
          <w:rFonts w:ascii="Arial" w:eastAsia="Arial" w:hAnsi="Arial" w:cs="Arial"/>
          <w:spacing w:val="-3"/>
        </w:rPr>
        <w:t>such as</w:t>
      </w:r>
      <w:r w:rsidRPr="00515044">
        <w:rPr>
          <w:rFonts w:ascii="Arial" w:eastAsia="Arial" w:hAnsi="Arial" w:cs="Arial"/>
          <w:spacing w:val="-3"/>
        </w:rPr>
        <w:t xml:space="preserve"> Commonwealth Bank/Bankwest, Westpac/St. George/Bank SA/Bank of Melbourne, Bendigo and Adelaide Bank/Rural Bank, BOQ/Members Equity, and NAB/</w:t>
      </w:r>
      <w:proofErr w:type="spellStart"/>
      <w:r w:rsidRPr="00515044">
        <w:rPr>
          <w:rFonts w:ascii="Arial" w:eastAsia="Arial" w:hAnsi="Arial" w:cs="Arial"/>
          <w:spacing w:val="-3"/>
        </w:rPr>
        <w:t>UBank</w:t>
      </w:r>
      <w:proofErr w:type="spellEnd"/>
      <w:r w:rsidRPr="00515044">
        <w:rPr>
          <w:rFonts w:ascii="Arial" w:eastAsia="Arial" w:hAnsi="Arial" w:cs="Arial"/>
          <w:spacing w:val="-3"/>
        </w:rPr>
        <w:t>.</w:t>
      </w:r>
    </w:p>
    <w:p w14:paraId="2746A080" w14:textId="77777777" w:rsidR="00424D71" w:rsidRPr="00515044" w:rsidRDefault="00424D71" w:rsidP="00424D71">
      <w:pPr>
        <w:spacing w:before="120"/>
        <w:ind w:right="53"/>
        <w:jc w:val="both"/>
        <w:rPr>
          <w:rFonts w:ascii="Arial" w:eastAsia="Arial" w:hAnsi="Arial" w:cs="Arial"/>
          <w:spacing w:val="-3"/>
        </w:rPr>
      </w:pPr>
      <w:r w:rsidRPr="00515044">
        <w:rPr>
          <w:rFonts w:ascii="Arial" w:eastAsia="Arial" w:hAnsi="Arial" w:cs="Arial"/>
          <w:spacing w:val="-3"/>
        </w:rPr>
        <w:t>In the absence of any evidence to the contrary, unrated wholly owned subsidiaries of a rated financial institution will be taken to have the same credit rating as their parent entity.</w:t>
      </w:r>
    </w:p>
    <w:p w14:paraId="5B882318" w14:textId="77777777" w:rsidR="00424D71" w:rsidRPr="00515044" w:rsidRDefault="00424D71" w:rsidP="00424D71">
      <w:pPr>
        <w:spacing w:before="120"/>
        <w:ind w:right="53"/>
        <w:jc w:val="both"/>
        <w:rPr>
          <w:rFonts w:ascii="Arial" w:eastAsia="Arial" w:hAnsi="Arial" w:cs="Arial"/>
          <w:spacing w:val="-3"/>
        </w:rPr>
      </w:pPr>
      <w:r w:rsidRPr="00515044">
        <w:rPr>
          <w:rFonts w:ascii="Arial" w:eastAsia="Arial" w:hAnsi="Arial" w:cs="Arial"/>
          <w:spacing w:val="-3"/>
        </w:rPr>
        <w:t>Before an investment is placed with a financial institution for the first time the ownership needs to be confirmed.  The ultimate ownership of each institution Council invests with is to be reviewed annually.</w:t>
      </w:r>
    </w:p>
    <w:p w14:paraId="7D7771CC" w14:textId="77777777" w:rsidR="00BE0B66" w:rsidRPr="00BE0B66" w:rsidRDefault="00BE0B66" w:rsidP="00BE0B66">
      <w:pPr>
        <w:spacing w:before="120"/>
        <w:ind w:right="53"/>
        <w:rPr>
          <w:rFonts w:ascii="Arial" w:eastAsia="Arial" w:hAnsi="Arial" w:cs="Arial"/>
          <w:spacing w:val="-3"/>
        </w:rPr>
      </w:pPr>
      <w:bookmarkStart w:id="12" w:name="_Toc496704210"/>
    </w:p>
    <w:p w14:paraId="10B72C55" w14:textId="5820CD79" w:rsidR="00424D71" w:rsidRPr="00515044" w:rsidRDefault="00424D71" w:rsidP="002712B9">
      <w:pPr>
        <w:pStyle w:val="Heading21"/>
      </w:pPr>
      <w:r w:rsidRPr="00515044">
        <w:t>Downgrade</w:t>
      </w:r>
      <w:bookmarkEnd w:id="12"/>
    </w:p>
    <w:p w14:paraId="5E2C7FD6" w14:textId="62E8264C" w:rsidR="00424D71" w:rsidRPr="00515044" w:rsidRDefault="00424D71" w:rsidP="00424D71">
      <w:pPr>
        <w:spacing w:before="120"/>
        <w:ind w:right="53"/>
        <w:jc w:val="both"/>
        <w:rPr>
          <w:rFonts w:ascii="Arial" w:eastAsia="Arial" w:hAnsi="Arial" w:cs="Arial"/>
          <w:spacing w:val="-3"/>
        </w:rPr>
      </w:pPr>
      <w:r w:rsidRPr="00515044">
        <w:rPr>
          <w:rFonts w:ascii="Arial" w:eastAsia="Arial" w:hAnsi="Arial" w:cs="Arial"/>
          <w:spacing w:val="-3"/>
        </w:rPr>
        <w:t>If the credit rating of any counterparty is downgraded such that any investments held with such party no longer comply with this policy, the Council will take steps to divest such investments as soon as practicable, subject to due consideration of risk, penalties</w:t>
      </w:r>
      <w:r w:rsidR="003F74BB">
        <w:rPr>
          <w:rFonts w:ascii="Arial" w:eastAsia="Arial" w:hAnsi="Arial" w:cs="Arial"/>
          <w:spacing w:val="-3"/>
        </w:rPr>
        <w:t>,</w:t>
      </w:r>
      <w:r w:rsidRPr="00515044">
        <w:rPr>
          <w:rFonts w:ascii="Arial" w:eastAsia="Arial" w:hAnsi="Arial" w:cs="Arial"/>
          <w:spacing w:val="-3"/>
        </w:rPr>
        <w:t xml:space="preserve"> and lost interest.</w:t>
      </w:r>
    </w:p>
    <w:p w14:paraId="6C310F1A" w14:textId="77777777" w:rsidR="00424D71" w:rsidRPr="00515044" w:rsidRDefault="00424D71" w:rsidP="00424D71">
      <w:pPr>
        <w:spacing w:before="120"/>
        <w:ind w:right="53"/>
        <w:rPr>
          <w:rFonts w:ascii="Arial" w:eastAsia="Arial" w:hAnsi="Arial" w:cs="Arial"/>
          <w:spacing w:val="-3"/>
        </w:rPr>
      </w:pPr>
    </w:p>
    <w:p w14:paraId="311D5AE6" w14:textId="2C8D73A2" w:rsidR="00424D71" w:rsidRPr="00515044" w:rsidRDefault="007E3688" w:rsidP="002712B9">
      <w:pPr>
        <w:pStyle w:val="Heading21"/>
      </w:pPr>
      <w:bookmarkStart w:id="13" w:name="_Toc496704211"/>
      <w:r>
        <w:t>C</w:t>
      </w:r>
      <w:r w:rsidR="00424D71" w:rsidRPr="00515044">
        <w:t>redit agency rating</w:t>
      </w:r>
      <w:bookmarkEnd w:id="13"/>
      <w:r>
        <w:t xml:space="preserve"> review</w:t>
      </w:r>
    </w:p>
    <w:p w14:paraId="4E34E62C" w14:textId="4999E91D" w:rsidR="00424D71" w:rsidRPr="00515044" w:rsidRDefault="00424D71" w:rsidP="00424D71">
      <w:pPr>
        <w:spacing w:before="120"/>
        <w:ind w:right="53"/>
        <w:jc w:val="both"/>
        <w:rPr>
          <w:rFonts w:ascii="Arial" w:eastAsia="Arial" w:hAnsi="Arial" w:cs="Arial"/>
          <w:spacing w:val="-3"/>
        </w:rPr>
      </w:pPr>
      <w:r w:rsidRPr="00515044">
        <w:rPr>
          <w:rFonts w:ascii="Arial" w:eastAsia="Arial" w:hAnsi="Arial" w:cs="Arial"/>
          <w:spacing w:val="-3"/>
        </w:rPr>
        <w:t>Council uses the credit ratings of Standard &amp; Poor’s, Moody’s, and Fitch when assessing the suitability of a financial institution.  The credit ratings of each institution Council invest with is to be reviewed half-yearly with any changes to be communicated in the Monthly Financial Report (MFR).</w:t>
      </w:r>
      <w:r w:rsidR="00D618FD">
        <w:rPr>
          <w:rFonts w:ascii="Arial" w:eastAsia="Arial" w:hAnsi="Arial" w:cs="Arial"/>
          <w:spacing w:val="-3"/>
        </w:rPr>
        <w:t xml:space="preserve">  In times of economic volatility this review will occur on a more frequent basi</w:t>
      </w:r>
      <w:r w:rsidR="00945EBB">
        <w:rPr>
          <w:rFonts w:ascii="Arial" w:eastAsia="Arial" w:hAnsi="Arial" w:cs="Arial"/>
          <w:spacing w:val="-3"/>
        </w:rPr>
        <w:t>s.</w:t>
      </w:r>
    </w:p>
    <w:p w14:paraId="1E48EDFB" w14:textId="77777777" w:rsidR="00A673A2" w:rsidRPr="00BE0B66" w:rsidRDefault="00A673A2" w:rsidP="00A673A2">
      <w:pPr>
        <w:spacing w:before="120"/>
        <w:ind w:right="53"/>
        <w:rPr>
          <w:rFonts w:ascii="Arial" w:eastAsia="Arial" w:hAnsi="Arial" w:cs="Arial"/>
          <w:spacing w:val="-3"/>
        </w:rPr>
      </w:pPr>
    </w:p>
    <w:p w14:paraId="6EDE660F" w14:textId="77777777" w:rsidR="00A673A2" w:rsidRPr="00CE6338" w:rsidRDefault="00A673A2" w:rsidP="00354490">
      <w:pPr>
        <w:pStyle w:val="Heading21"/>
        <w:rPr>
          <w:i/>
        </w:rPr>
      </w:pPr>
      <w:bookmarkStart w:id="14" w:name="_Toc104283415"/>
      <w:r w:rsidRPr="00CE6338">
        <w:t>Reporting and benchmarking</w:t>
      </w:r>
      <w:bookmarkEnd w:id="9"/>
      <w:bookmarkEnd w:id="10"/>
      <w:bookmarkEnd w:id="14"/>
    </w:p>
    <w:p w14:paraId="64FE5046" w14:textId="7599BB76"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A monthly update is included in the Monthly Financial Report (MFR) to inform ELT of the total portfolio </w:t>
      </w:r>
      <w:r w:rsidR="009425F4">
        <w:rPr>
          <w:rFonts w:ascii="Arial" w:eastAsia="Arial" w:hAnsi="Arial" w:cs="Arial"/>
          <w:spacing w:val="-3"/>
        </w:rPr>
        <w:t xml:space="preserve">balance and performance to </w:t>
      </w:r>
      <w:proofErr w:type="gramStart"/>
      <w:r w:rsidR="009425F4">
        <w:rPr>
          <w:rFonts w:ascii="Arial" w:eastAsia="Arial" w:hAnsi="Arial" w:cs="Arial"/>
          <w:spacing w:val="-3"/>
        </w:rPr>
        <w:t>target</w:t>
      </w:r>
      <w:proofErr w:type="gramEnd"/>
      <w:r w:rsidR="009425F4">
        <w:rPr>
          <w:rFonts w:ascii="Arial" w:eastAsia="Arial" w:hAnsi="Arial" w:cs="Arial"/>
          <w:spacing w:val="-3"/>
        </w:rPr>
        <w:t xml:space="preserve"> </w:t>
      </w:r>
      <w:r w:rsidRPr="00515044">
        <w:rPr>
          <w:rFonts w:ascii="Arial" w:eastAsia="Arial" w:hAnsi="Arial" w:cs="Arial"/>
          <w:spacing w:val="-3"/>
        </w:rPr>
        <w:t xml:space="preserve">and the percentage invested in CSR/fossil free investments.  </w:t>
      </w:r>
      <w:proofErr w:type="gramStart"/>
      <w:r w:rsidRPr="00515044">
        <w:rPr>
          <w:rFonts w:ascii="Arial" w:eastAsia="Arial" w:hAnsi="Arial" w:cs="Arial"/>
          <w:spacing w:val="-3"/>
        </w:rPr>
        <w:t>Th</w:t>
      </w:r>
      <w:r w:rsidR="0032684D">
        <w:rPr>
          <w:rFonts w:ascii="Arial" w:eastAsia="Arial" w:hAnsi="Arial" w:cs="Arial"/>
          <w:spacing w:val="-3"/>
        </w:rPr>
        <w:t xml:space="preserve">e </w:t>
      </w:r>
      <w:r w:rsidRPr="00515044">
        <w:rPr>
          <w:rFonts w:ascii="Arial" w:eastAsia="Arial" w:hAnsi="Arial" w:cs="Arial"/>
          <w:spacing w:val="-3"/>
        </w:rPr>
        <w:t xml:space="preserve"> fossil</w:t>
      </w:r>
      <w:proofErr w:type="gramEnd"/>
      <w:r w:rsidRPr="00515044">
        <w:rPr>
          <w:rFonts w:ascii="Arial" w:eastAsia="Arial" w:hAnsi="Arial" w:cs="Arial"/>
          <w:spacing w:val="-3"/>
        </w:rPr>
        <w:t xml:space="preserve"> free percentage</w:t>
      </w:r>
      <w:r w:rsidR="001175D0">
        <w:rPr>
          <w:rFonts w:ascii="Arial" w:eastAsia="Arial" w:hAnsi="Arial" w:cs="Arial"/>
          <w:spacing w:val="-3"/>
        </w:rPr>
        <w:t xml:space="preserve"> and investment performance</w:t>
      </w:r>
      <w:r w:rsidRPr="00515044">
        <w:rPr>
          <w:rFonts w:ascii="Arial" w:eastAsia="Arial" w:hAnsi="Arial" w:cs="Arial"/>
          <w:spacing w:val="-3"/>
        </w:rPr>
        <w:t xml:space="preserve"> is also included in the CEO report</w:t>
      </w:r>
      <w:r w:rsidR="006639FB">
        <w:rPr>
          <w:rFonts w:ascii="Arial" w:eastAsia="Arial" w:hAnsi="Arial" w:cs="Arial"/>
          <w:spacing w:val="-3"/>
        </w:rPr>
        <w:t xml:space="preserve"> </w:t>
      </w:r>
      <w:r w:rsidR="0032684D">
        <w:rPr>
          <w:rFonts w:ascii="Arial" w:eastAsia="Arial" w:hAnsi="Arial" w:cs="Arial"/>
          <w:spacing w:val="-3"/>
        </w:rPr>
        <w:t xml:space="preserve">which is </w:t>
      </w:r>
      <w:r w:rsidR="00C345F5">
        <w:rPr>
          <w:rFonts w:ascii="Arial" w:eastAsia="Arial" w:hAnsi="Arial" w:cs="Arial"/>
          <w:spacing w:val="-3"/>
        </w:rPr>
        <w:t>presented</w:t>
      </w:r>
      <w:r w:rsidR="0032684D">
        <w:rPr>
          <w:rFonts w:ascii="Arial" w:eastAsia="Arial" w:hAnsi="Arial" w:cs="Arial"/>
          <w:spacing w:val="-3"/>
        </w:rPr>
        <w:t xml:space="preserve"> to Council monthly.</w:t>
      </w:r>
      <w:r w:rsidRPr="00515044">
        <w:rPr>
          <w:rFonts w:ascii="Arial" w:eastAsia="Arial" w:hAnsi="Arial" w:cs="Arial"/>
          <w:spacing w:val="-3"/>
        </w:rPr>
        <w:t xml:space="preserve">.  </w:t>
      </w:r>
    </w:p>
    <w:p w14:paraId="0B5A6CF8" w14:textId="57DF7FCB"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The report to ELT should confirm that investment limits for </w:t>
      </w:r>
      <w:r w:rsidR="00BD2010" w:rsidRPr="00BD2010">
        <w:rPr>
          <w:rFonts w:ascii="Arial" w:eastAsia="Arial" w:hAnsi="Arial" w:cs="Arial"/>
          <w:spacing w:val="-3"/>
        </w:rPr>
        <w:t>instruments</w:t>
      </w:r>
      <w:r w:rsidRPr="00515044">
        <w:rPr>
          <w:rFonts w:ascii="Arial" w:eastAsia="Arial" w:hAnsi="Arial" w:cs="Arial"/>
          <w:spacing w:val="-3"/>
        </w:rPr>
        <w:t xml:space="preserve"> have been adhered to or provide details of any breaches and remedial actions taken.  The performance of the investments measured against the benchmark and the budgeted interested rate should also be included in the report.  </w:t>
      </w:r>
    </w:p>
    <w:p w14:paraId="271309E9" w14:textId="2C128748"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Any breach of the investment limits should be notified to the CFO and the</w:t>
      </w:r>
      <w:r w:rsidR="00BD2010">
        <w:rPr>
          <w:rFonts w:ascii="Arial" w:eastAsia="Arial" w:hAnsi="Arial" w:cs="Arial"/>
          <w:spacing w:val="-3"/>
        </w:rPr>
        <w:t xml:space="preserve"> Divisional</w:t>
      </w:r>
      <w:r w:rsidRPr="00515044">
        <w:rPr>
          <w:rFonts w:ascii="Arial" w:eastAsia="Arial" w:hAnsi="Arial" w:cs="Arial"/>
          <w:spacing w:val="-3"/>
        </w:rPr>
        <w:t xml:space="preserve"> GM OI within 24 hours of the breach being detected and reported in the Monthly Financial Report (MFR) as described above. </w:t>
      </w:r>
    </w:p>
    <w:p w14:paraId="207002BE" w14:textId="77777777" w:rsidR="00A673A2" w:rsidRDefault="00A673A2" w:rsidP="00A673A2">
      <w:pPr>
        <w:spacing w:before="120"/>
        <w:ind w:right="53"/>
        <w:jc w:val="both"/>
        <w:rPr>
          <w:rFonts w:ascii="Arial" w:eastAsia="Arial" w:hAnsi="Arial" w:cs="Arial"/>
          <w:spacing w:val="-3"/>
        </w:rPr>
      </w:pPr>
      <w:r w:rsidRPr="00515044">
        <w:rPr>
          <w:rFonts w:ascii="Arial" w:eastAsia="Arial" w:hAnsi="Arial" w:cs="Arial"/>
          <w:spacing w:val="-3"/>
        </w:rPr>
        <w:t>The interest earned on Council’s investment portfolio will be reported monthly.  The performance of At-Call Accounts and the performance of other investments under this policy will be bench marked against the following rates:</w:t>
      </w:r>
    </w:p>
    <w:p w14:paraId="03A628DC" w14:textId="1FF6CDFA" w:rsidR="00BE0B66" w:rsidRDefault="00BE0B66">
      <w:pPr>
        <w:rPr>
          <w:rFonts w:ascii="Arial" w:eastAsia="Arial" w:hAnsi="Arial" w:cs="Arial"/>
          <w:spacing w:val="-3"/>
        </w:rPr>
      </w:pPr>
      <w:r>
        <w:rPr>
          <w:rFonts w:ascii="Arial" w:eastAsia="Arial" w:hAnsi="Arial" w:cs="Arial"/>
          <w:spacing w:val="-3"/>
        </w:rPr>
        <w:br w:type="page"/>
      </w:r>
    </w:p>
    <w:p w14:paraId="5A48C251" w14:textId="77777777" w:rsidR="008A5F52" w:rsidRPr="00515044" w:rsidRDefault="008A5F52" w:rsidP="00A673A2">
      <w:pPr>
        <w:spacing w:before="120"/>
        <w:ind w:right="53"/>
        <w:jc w:val="both"/>
        <w:rPr>
          <w:rFonts w:ascii="Arial" w:eastAsia="Arial" w:hAnsi="Arial" w:cs="Arial"/>
          <w:spacing w:val="-3"/>
        </w:rPr>
      </w:pPr>
    </w:p>
    <w:tbl>
      <w:tblPr>
        <w:tblStyle w:val="TableGrid"/>
        <w:tblW w:w="0" w:type="auto"/>
        <w:tblLook w:val="04A0" w:firstRow="1" w:lastRow="0" w:firstColumn="1" w:lastColumn="0" w:noHBand="0" w:noVBand="1"/>
      </w:tblPr>
      <w:tblGrid>
        <w:gridCol w:w="2830"/>
        <w:gridCol w:w="5954"/>
      </w:tblGrid>
      <w:tr w:rsidR="00A673A2" w:rsidRPr="005D6722" w14:paraId="782618C5" w14:textId="77777777" w:rsidTr="00292216">
        <w:tc>
          <w:tcPr>
            <w:tcW w:w="2830" w:type="dxa"/>
          </w:tcPr>
          <w:p w14:paraId="0425F75D" w14:textId="77777777" w:rsidR="00A673A2" w:rsidRPr="00515044" w:rsidRDefault="00A673A2" w:rsidP="00292216">
            <w:pPr>
              <w:spacing w:before="120"/>
              <w:ind w:right="720"/>
              <w:jc w:val="both"/>
              <w:rPr>
                <w:rFonts w:ascii="Arial" w:hAnsi="Arial" w:cs="Arial"/>
                <w:b/>
              </w:rPr>
            </w:pPr>
            <w:r w:rsidRPr="00515044">
              <w:rPr>
                <w:rFonts w:ascii="Arial" w:eastAsia="Arial" w:hAnsi="Arial" w:cs="Arial"/>
                <w:b/>
                <w:spacing w:val="-3"/>
              </w:rPr>
              <w:t>INVESTMENT</w:t>
            </w:r>
          </w:p>
        </w:tc>
        <w:tc>
          <w:tcPr>
            <w:tcW w:w="5954" w:type="dxa"/>
          </w:tcPr>
          <w:p w14:paraId="3F8F5113" w14:textId="77777777" w:rsidR="00A673A2" w:rsidRPr="00515044" w:rsidRDefault="00A673A2" w:rsidP="00292216">
            <w:pPr>
              <w:spacing w:before="120"/>
              <w:ind w:right="720"/>
              <w:jc w:val="both"/>
              <w:rPr>
                <w:rFonts w:ascii="Arial" w:hAnsi="Arial" w:cs="Arial"/>
                <w:b/>
              </w:rPr>
            </w:pPr>
            <w:r w:rsidRPr="00515044">
              <w:rPr>
                <w:rFonts w:ascii="Arial" w:eastAsia="Arial" w:hAnsi="Arial" w:cs="Arial"/>
                <w:b/>
                <w:spacing w:val="-3"/>
              </w:rPr>
              <w:t>PERFORMANCE BENCHMARK</w:t>
            </w:r>
          </w:p>
        </w:tc>
      </w:tr>
      <w:tr w:rsidR="00A673A2" w:rsidRPr="005D6722" w14:paraId="569C0753" w14:textId="77777777" w:rsidTr="00292216">
        <w:tc>
          <w:tcPr>
            <w:tcW w:w="2830" w:type="dxa"/>
          </w:tcPr>
          <w:p w14:paraId="689139B8" w14:textId="77777777" w:rsidR="00A673A2" w:rsidRPr="00515044" w:rsidRDefault="00A673A2" w:rsidP="00292216">
            <w:pPr>
              <w:spacing w:before="120"/>
              <w:ind w:right="720"/>
              <w:jc w:val="both"/>
              <w:rPr>
                <w:rFonts w:ascii="Arial" w:hAnsi="Arial" w:cs="Arial"/>
              </w:rPr>
            </w:pPr>
            <w:r w:rsidRPr="00515044">
              <w:rPr>
                <w:rFonts w:ascii="Arial" w:eastAsia="Arial" w:hAnsi="Arial" w:cs="Arial"/>
                <w:spacing w:val="-3"/>
              </w:rPr>
              <w:t>Cash in At-Call Accounts</w:t>
            </w:r>
          </w:p>
        </w:tc>
        <w:tc>
          <w:tcPr>
            <w:tcW w:w="5954" w:type="dxa"/>
          </w:tcPr>
          <w:p w14:paraId="2660474C" w14:textId="77777777" w:rsidR="00A673A2" w:rsidRPr="00515044" w:rsidRDefault="00A673A2" w:rsidP="00292216">
            <w:pPr>
              <w:spacing w:before="120"/>
              <w:ind w:right="720"/>
              <w:jc w:val="both"/>
              <w:rPr>
                <w:rFonts w:ascii="Arial" w:hAnsi="Arial" w:cs="Arial"/>
              </w:rPr>
            </w:pPr>
            <w:r w:rsidRPr="00515044">
              <w:rPr>
                <w:rFonts w:ascii="Arial" w:eastAsia="Arial" w:hAnsi="Arial" w:cs="Arial"/>
                <w:spacing w:val="-3"/>
              </w:rPr>
              <w:t>11am Cash Rate</w:t>
            </w:r>
          </w:p>
        </w:tc>
      </w:tr>
      <w:tr w:rsidR="00A673A2" w:rsidRPr="005D6722" w14:paraId="17238ACF" w14:textId="77777777" w:rsidTr="00292216">
        <w:tc>
          <w:tcPr>
            <w:tcW w:w="2830" w:type="dxa"/>
          </w:tcPr>
          <w:p w14:paraId="3AD1D764" w14:textId="77777777" w:rsidR="00A673A2" w:rsidRPr="00515044" w:rsidRDefault="00A673A2" w:rsidP="00292216">
            <w:pPr>
              <w:spacing w:before="120"/>
              <w:ind w:right="435"/>
              <w:rPr>
                <w:rFonts w:ascii="Arial" w:hAnsi="Arial" w:cs="Arial"/>
              </w:rPr>
            </w:pPr>
            <w:r w:rsidRPr="00515044">
              <w:rPr>
                <w:rFonts w:ascii="Arial" w:eastAsia="Arial" w:hAnsi="Arial" w:cs="Arial"/>
                <w:spacing w:val="-3"/>
              </w:rPr>
              <w:t>Direct Investments</w:t>
            </w:r>
            <w:r w:rsidRPr="00515044">
              <w:rPr>
                <w:rFonts w:ascii="Arial" w:eastAsia="Arial" w:hAnsi="Arial" w:cs="Arial"/>
                <w:spacing w:val="-3"/>
              </w:rPr>
              <w:tab/>
            </w:r>
          </w:p>
        </w:tc>
        <w:tc>
          <w:tcPr>
            <w:tcW w:w="5954" w:type="dxa"/>
          </w:tcPr>
          <w:p w14:paraId="1F40E1CF" w14:textId="77777777" w:rsidR="00A673A2" w:rsidRPr="00515044" w:rsidRDefault="00A673A2" w:rsidP="00292216">
            <w:pPr>
              <w:tabs>
                <w:tab w:val="right" w:pos="5018"/>
              </w:tabs>
              <w:spacing w:before="120"/>
              <w:ind w:right="720"/>
              <w:rPr>
                <w:rFonts w:ascii="Arial" w:hAnsi="Arial" w:cs="Arial"/>
              </w:rPr>
            </w:pPr>
            <w:r w:rsidRPr="00515044">
              <w:rPr>
                <w:rFonts w:ascii="Arial" w:eastAsia="Arial" w:hAnsi="Arial" w:cs="Arial"/>
                <w:spacing w:val="-3"/>
              </w:rPr>
              <w:t>AFMA BBSW Rate: Average Mid - 90 day plus 50 basis points</w:t>
            </w:r>
          </w:p>
        </w:tc>
      </w:tr>
    </w:tbl>
    <w:p w14:paraId="455C6063" w14:textId="77777777" w:rsidR="00D52C08" w:rsidRDefault="00D52C08" w:rsidP="00354490">
      <w:pPr>
        <w:pStyle w:val="Heading21"/>
        <w:rPr>
          <w:lang w:val="en-US"/>
        </w:rPr>
      </w:pPr>
    </w:p>
    <w:p w14:paraId="39750929" w14:textId="1D32EA8A" w:rsidR="00A673A2" w:rsidRPr="00515044" w:rsidRDefault="008A5F52" w:rsidP="00354490">
      <w:pPr>
        <w:pStyle w:val="Heading21"/>
        <w:rPr>
          <w:lang w:val="en-US"/>
        </w:rPr>
      </w:pPr>
      <w:r>
        <w:rPr>
          <w:lang w:val="en-US"/>
        </w:rPr>
        <w:t xml:space="preserve">Cash Management - </w:t>
      </w:r>
      <w:r w:rsidR="00A673A2" w:rsidRPr="00515044">
        <w:rPr>
          <w:lang w:val="en-US"/>
        </w:rPr>
        <w:t>Investment decisions</w:t>
      </w:r>
    </w:p>
    <w:p w14:paraId="59ED39FE"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The general fund bank account balance of Council is to be kept at a level that is sufficient to meet Council’s immediate cash flow requirements, with any surplus funds being applied to reducing debt if beneficial or placed on investment. </w:t>
      </w:r>
    </w:p>
    <w:p w14:paraId="7CD6A5C7"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Funds available for investment will be determined following a review of expected future cash flows.  Timing of investment maturities will also be considered.</w:t>
      </w:r>
    </w:p>
    <w:p w14:paraId="51A2C1B2" w14:textId="44DACD1C"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Placing new investments requires written authorisation from the CFO or </w:t>
      </w:r>
      <w:r w:rsidR="00562EBE">
        <w:rPr>
          <w:rFonts w:ascii="Arial" w:eastAsia="Arial" w:hAnsi="Arial" w:cs="Arial"/>
          <w:spacing w:val="-3"/>
        </w:rPr>
        <w:t xml:space="preserve">Divisional </w:t>
      </w:r>
      <w:r w:rsidRPr="00515044">
        <w:rPr>
          <w:rFonts w:ascii="Arial" w:eastAsia="Arial" w:hAnsi="Arial" w:cs="Arial"/>
          <w:spacing w:val="-3"/>
        </w:rPr>
        <w:t xml:space="preserve">GM </w:t>
      </w:r>
    </w:p>
    <w:p w14:paraId="6BEDB3FC"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The responsible officer can call back investments that have matured for cash flow purposes without written authorisation. </w:t>
      </w:r>
    </w:p>
    <w:p w14:paraId="27135E5B" w14:textId="77777777" w:rsidR="00810AC3" w:rsidRDefault="00810AC3" w:rsidP="006C6F2F">
      <w:pPr>
        <w:pStyle w:val="Heading21"/>
      </w:pPr>
      <w:bookmarkStart w:id="15" w:name="_Toc496704219"/>
    </w:p>
    <w:p w14:paraId="4BE22A41" w14:textId="47BC8A53" w:rsidR="00A673A2" w:rsidRPr="00515044" w:rsidRDefault="00A673A2" w:rsidP="006C6F2F">
      <w:pPr>
        <w:pStyle w:val="Heading21"/>
        <w:rPr>
          <w:i/>
        </w:rPr>
      </w:pPr>
      <w:r w:rsidRPr="00515044">
        <w:t>Transfer of funds</w:t>
      </w:r>
      <w:bookmarkEnd w:id="15"/>
      <w:r w:rsidRPr="00515044">
        <w:t xml:space="preserve"> </w:t>
      </w:r>
    </w:p>
    <w:p w14:paraId="3E7BE178" w14:textId="461CFE29"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Funds may be transferred electronically or via direct debit and these transfers will be authorised by two officers who have delegation to approve transfers from the general fund bank account</w:t>
      </w:r>
      <w:r w:rsidR="0055046B">
        <w:rPr>
          <w:rFonts w:ascii="Arial" w:eastAsia="Arial" w:hAnsi="Arial" w:cs="Arial"/>
          <w:spacing w:val="-3"/>
        </w:rPr>
        <w:t xml:space="preserve"> in Council</w:t>
      </w:r>
      <w:r w:rsidR="00661151">
        <w:rPr>
          <w:rFonts w:ascii="Arial" w:eastAsia="Arial" w:hAnsi="Arial" w:cs="Arial"/>
          <w:spacing w:val="-3"/>
        </w:rPr>
        <w:t>’</w:t>
      </w:r>
      <w:r w:rsidR="0055046B">
        <w:rPr>
          <w:rFonts w:ascii="Arial" w:eastAsia="Arial" w:hAnsi="Arial" w:cs="Arial"/>
          <w:spacing w:val="-3"/>
        </w:rPr>
        <w:t xml:space="preserve">s </w:t>
      </w:r>
      <w:r w:rsidR="00F07CA6">
        <w:rPr>
          <w:rFonts w:ascii="Arial" w:eastAsia="Arial" w:hAnsi="Arial" w:cs="Arial"/>
          <w:spacing w:val="-3"/>
        </w:rPr>
        <w:t>banking system.</w:t>
      </w:r>
      <w:r w:rsidRPr="00515044">
        <w:rPr>
          <w:rFonts w:ascii="Arial" w:eastAsia="Arial" w:hAnsi="Arial" w:cs="Arial"/>
          <w:spacing w:val="-3"/>
        </w:rPr>
        <w:t xml:space="preserve"> </w:t>
      </w:r>
    </w:p>
    <w:p w14:paraId="31859AFA"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 xml:space="preserve">Interest earned on investments being rolled over must be redeemed to Council’s general fund bank account at the time of maturity.  Exemptions apply for interest earned on investments tied to capital funding / capital grants. </w:t>
      </w:r>
    </w:p>
    <w:p w14:paraId="6D972F40" w14:textId="77777777" w:rsidR="00A673A2" w:rsidRPr="00515044" w:rsidRDefault="00A673A2" w:rsidP="00A673A2">
      <w:pPr>
        <w:spacing w:before="120"/>
        <w:ind w:right="53"/>
        <w:jc w:val="both"/>
        <w:rPr>
          <w:rFonts w:ascii="Arial" w:eastAsia="Arial" w:hAnsi="Arial" w:cs="Arial"/>
          <w:spacing w:val="-3"/>
        </w:rPr>
      </w:pPr>
      <w:r w:rsidRPr="00515044">
        <w:rPr>
          <w:rFonts w:ascii="Arial" w:eastAsia="Arial" w:hAnsi="Arial" w:cs="Arial"/>
          <w:spacing w:val="-3"/>
        </w:rPr>
        <w:t>All funds that are being redeemed, or interest being paid, must be directly credited to Council’s general fund bank account.</w:t>
      </w:r>
    </w:p>
    <w:p w14:paraId="5BFCA08F" w14:textId="77777777" w:rsidR="00A673A2" w:rsidRPr="00515044" w:rsidRDefault="00A673A2" w:rsidP="00A673A2">
      <w:pPr>
        <w:spacing w:before="120"/>
        <w:ind w:right="53"/>
        <w:rPr>
          <w:rFonts w:ascii="Arial" w:eastAsia="Arial" w:hAnsi="Arial" w:cs="Arial"/>
          <w:spacing w:val="-3"/>
        </w:rPr>
      </w:pPr>
    </w:p>
    <w:p w14:paraId="05A886F6" w14:textId="77777777" w:rsidR="00A673A2" w:rsidRPr="00515044" w:rsidRDefault="00A673A2" w:rsidP="00B27016">
      <w:pPr>
        <w:pStyle w:val="Heading21"/>
      </w:pPr>
      <w:r w:rsidRPr="00515044">
        <w:t>Divestment of funds</w:t>
      </w:r>
    </w:p>
    <w:p w14:paraId="2D4E4C42" w14:textId="77777777" w:rsidR="00A673A2" w:rsidRPr="0094588D" w:rsidRDefault="00A673A2" w:rsidP="00515044">
      <w:pPr>
        <w:spacing w:before="120"/>
        <w:ind w:right="53"/>
        <w:jc w:val="both"/>
        <w:rPr>
          <w:rFonts w:ascii="Arial" w:eastAsia="Arial" w:hAnsi="Arial" w:cs="Arial"/>
          <w:spacing w:val="-3"/>
        </w:rPr>
      </w:pPr>
      <w:r w:rsidRPr="0094588D">
        <w:rPr>
          <w:rFonts w:ascii="Arial" w:eastAsia="Arial" w:hAnsi="Arial" w:cs="Arial"/>
          <w:spacing w:val="-3"/>
        </w:rPr>
        <w:t xml:space="preserve">Where the organisational cash requirements indicate a shortfall in available funds, investments can be recalled with the approval of the Chief Financial Officer.  Finance officers must adhere to the requirements of the financial institutions where the funds are held.  </w:t>
      </w:r>
    </w:p>
    <w:p w14:paraId="2FD03EFE" w14:textId="77777777" w:rsidR="00A673A2" w:rsidRPr="00515044" w:rsidRDefault="00A673A2" w:rsidP="00515044">
      <w:pPr>
        <w:spacing w:before="120"/>
        <w:ind w:right="53"/>
        <w:jc w:val="both"/>
        <w:rPr>
          <w:rFonts w:eastAsia="Arial"/>
          <w:spacing w:val="-3"/>
        </w:rPr>
      </w:pPr>
    </w:p>
    <w:p w14:paraId="630D66E5" w14:textId="77777777" w:rsidR="00A673A2" w:rsidRPr="00CE6338" w:rsidRDefault="00A673A2" w:rsidP="006C6F2F">
      <w:pPr>
        <w:pStyle w:val="Heading21"/>
        <w:rPr>
          <w:i/>
        </w:rPr>
      </w:pPr>
      <w:bookmarkStart w:id="16" w:name="_Toc496704221"/>
      <w:bookmarkStart w:id="17" w:name="_Toc34749526"/>
      <w:bookmarkStart w:id="18" w:name="_Toc104283417"/>
      <w:r w:rsidRPr="00CE6338">
        <w:t>Ethics and probity</w:t>
      </w:r>
      <w:bookmarkEnd w:id="16"/>
      <w:bookmarkEnd w:id="17"/>
      <w:bookmarkEnd w:id="18"/>
    </w:p>
    <w:p w14:paraId="1A834D73" w14:textId="77777777" w:rsidR="00315AD5" w:rsidRDefault="00223794" w:rsidP="00A673A2">
      <w:pPr>
        <w:rPr>
          <w:rFonts w:ascii="Arial" w:eastAsia="Arial" w:hAnsi="Arial" w:cs="Arial"/>
          <w:spacing w:val="-3"/>
        </w:rPr>
      </w:pPr>
      <w:r w:rsidRPr="00515044">
        <w:rPr>
          <w:rFonts w:ascii="Arial" w:eastAsia="Arial" w:hAnsi="Arial" w:cs="Arial"/>
          <w:spacing w:val="-3"/>
        </w:rPr>
        <w:t>All investments are to be made exercising care, diligence, and skill that a prudent financial officer would exercise in managing the affairs of other persons.  When acting under the provisions of this policy Council officers should always maintain a professional balance of risk and return and act as a steward of Council funds</w:t>
      </w:r>
      <w:r w:rsidR="00A22965">
        <w:rPr>
          <w:rFonts w:ascii="Arial" w:eastAsia="Arial" w:hAnsi="Arial" w:cs="Arial"/>
          <w:spacing w:val="-3"/>
        </w:rPr>
        <w:t xml:space="preserve">. </w:t>
      </w:r>
    </w:p>
    <w:p w14:paraId="5A4121E4" w14:textId="69365969" w:rsidR="00A673A2" w:rsidRDefault="00704828" w:rsidP="00A673A2">
      <w:pPr>
        <w:rPr>
          <w:rFonts w:ascii="Arial" w:eastAsia="Arial" w:hAnsi="Arial" w:cs="Arial"/>
          <w:spacing w:val="-3"/>
        </w:rPr>
      </w:pPr>
      <w:r w:rsidRPr="0094588D">
        <w:rPr>
          <w:rFonts w:ascii="Arial" w:eastAsia="Arial" w:hAnsi="Arial" w:cs="Arial"/>
          <w:spacing w:val="-3"/>
        </w:rPr>
        <w:lastRenderedPageBreak/>
        <w:t xml:space="preserve">A member of Council staff who has a conflict of interest in a matter requiring a decision to be made by the member of Council staff as delegate must, immediately upon becoming aware of the conflict of interest, provide a written notice to the Chief Executive Officer explaining the nature of the conflict of interest. </w:t>
      </w:r>
      <w:r w:rsidR="00F268F3">
        <w:rPr>
          <w:rFonts w:ascii="Arial" w:eastAsia="Arial" w:hAnsi="Arial" w:cs="Arial"/>
          <w:spacing w:val="-3"/>
        </w:rPr>
        <w:t xml:space="preserve">Any declaration </w:t>
      </w:r>
      <w:r w:rsidR="008E7841">
        <w:rPr>
          <w:rFonts w:ascii="Arial" w:eastAsia="Arial" w:hAnsi="Arial" w:cs="Arial"/>
          <w:spacing w:val="-3"/>
        </w:rPr>
        <w:t xml:space="preserve">must be made in accordance with </w:t>
      </w:r>
      <w:r w:rsidR="00116CB4">
        <w:rPr>
          <w:rFonts w:ascii="Arial" w:eastAsia="Arial" w:hAnsi="Arial" w:cs="Arial"/>
          <w:spacing w:val="-3"/>
        </w:rPr>
        <w:t xml:space="preserve">the </w:t>
      </w:r>
      <w:proofErr w:type="gramStart"/>
      <w:r w:rsidR="008E7841">
        <w:rPr>
          <w:rFonts w:ascii="Arial" w:eastAsia="Arial" w:hAnsi="Arial" w:cs="Arial"/>
          <w:spacing w:val="-3"/>
        </w:rPr>
        <w:t>C</w:t>
      </w:r>
      <w:r w:rsidR="00116CB4">
        <w:rPr>
          <w:rFonts w:ascii="Arial" w:eastAsia="Arial" w:hAnsi="Arial" w:cs="Arial"/>
          <w:spacing w:val="-3"/>
        </w:rPr>
        <w:t xml:space="preserve">onflict of </w:t>
      </w:r>
      <w:r w:rsidR="00315AD5">
        <w:rPr>
          <w:rFonts w:ascii="Arial" w:eastAsia="Arial" w:hAnsi="Arial" w:cs="Arial"/>
          <w:spacing w:val="-3"/>
        </w:rPr>
        <w:t>Interest</w:t>
      </w:r>
      <w:proofErr w:type="gramEnd"/>
      <w:r w:rsidR="00315AD5">
        <w:rPr>
          <w:rFonts w:ascii="Arial" w:eastAsia="Arial" w:hAnsi="Arial" w:cs="Arial"/>
          <w:spacing w:val="-3"/>
        </w:rPr>
        <w:t xml:space="preserve"> policy</w:t>
      </w:r>
      <w:r w:rsidR="008E7841">
        <w:rPr>
          <w:rFonts w:ascii="Arial" w:eastAsia="Arial" w:hAnsi="Arial" w:cs="Arial"/>
          <w:spacing w:val="-3"/>
        </w:rPr>
        <w:t xml:space="preserve"> and be made </w:t>
      </w:r>
      <w:r w:rsidR="00116CB4">
        <w:rPr>
          <w:rFonts w:ascii="Arial" w:eastAsia="Arial" w:hAnsi="Arial" w:cs="Arial"/>
          <w:spacing w:val="-3"/>
        </w:rPr>
        <w:t>publicly</w:t>
      </w:r>
      <w:r w:rsidR="008E7841">
        <w:rPr>
          <w:rFonts w:ascii="Arial" w:eastAsia="Arial" w:hAnsi="Arial" w:cs="Arial"/>
          <w:spacing w:val="-3"/>
        </w:rPr>
        <w:t xml:space="preserve"> avail</w:t>
      </w:r>
      <w:r w:rsidR="00116CB4">
        <w:rPr>
          <w:rFonts w:ascii="Arial" w:eastAsia="Arial" w:hAnsi="Arial" w:cs="Arial"/>
          <w:spacing w:val="-3"/>
        </w:rPr>
        <w:t>able</w:t>
      </w:r>
      <w:r w:rsidR="008E7841">
        <w:rPr>
          <w:rFonts w:ascii="Arial" w:eastAsia="Arial" w:hAnsi="Arial" w:cs="Arial"/>
          <w:spacing w:val="-3"/>
        </w:rPr>
        <w:t xml:space="preserve"> via Councils C</w:t>
      </w:r>
      <w:r w:rsidR="00116CB4">
        <w:rPr>
          <w:rFonts w:ascii="Arial" w:eastAsia="Arial" w:hAnsi="Arial" w:cs="Arial"/>
          <w:spacing w:val="-3"/>
        </w:rPr>
        <w:t xml:space="preserve">onflicts of </w:t>
      </w:r>
      <w:r w:rsidR="008B3765">
        <w:rPr>
          <w:rFonts w:ascii="Arial" w:eastAsia="Arial" w:hAnsi="Arial" w:cs="Arial"/>
          <w:spacing w:val="-3"/>
        </w:rPr>
        <w:t>Interest register</w:t>
      </w:r>
      <w:r w:rsidR="008E7841">
        <w:rPr>
          <w:rFonts w:ascii="Arial" w:eastAsia="Arial" w:hAnsi="Arial" w:cs="Arial"/>
          <w:spacing w:val="-3"/>
        </w:rPr>
        <w:t xml:space="preserve">. </w:t>
      </w:r>
      <w:r w:rsidR="00183E10">
        <w:rPr>
          <w:rFonts w:ascii="Arial" w:eastAsia="Arial" w:hAnsi="Arial" w:cs="Arial"/>
          <w:spacing w:val="-3"/>
        </w:rPr>
        <w:t xml:space="preserve"> Governance will review the </w:t>
      </w:r>
      <w:r w:rsidR="009B7EE7">
        <w:rPr>
          <w:rFonts w:ascii="Arial" w:eastAsia="Arial" w:hAnsi="Arial" w:cs="Arial"/>
          <w:spacing w:val="-3"/>
        </w:rPr>
        <w:t>conflict</w:t>
      </w:r>
      <w:r w:rsidR="0053583C">
        <w:rPr>
          <w:rFonts w:ascii="Arial" w:eastAsia="Arial" w:hAnsi="Arial" w:cs="Arial"/>
          <w:spacing w:val="-3"/>
        </w:rPr>
        <w:t xml:space="preserve"> and </w:t>
      </w:r>
      <w:r w:rsidR="007E2FCF">
        <w:rPr>
          <w:rFonts w:ascii="Arial" w:eastAsia="Arial" w:hAnsi="Arial" w:cs="Arial"/>
          <w:spacing w:val="-3"/>
        </w:rPr>
        <w:t>advise on the next steps before further investment activity can proceed.</w:t>
      </w:r>
      <w:r w:rsidR="009B7EE7">
        <w:rPr>
          <w:rFonts w:ascii="Arial" w:eastAsia="Arial" w:hAnsi="Arial" w:cs="Arial"/>
          <w:spacing w:val="-3"/>
        </w:rPr>
        <w:t xml:space="preserve"> </w:t>
      </w:r>
    </w:p>
    <w:p w14:paraId="76F17E82" w14:textId="77777777" w:rsidR="00BE0B66" w:rsidRPr="00515044" w:rsidRDefault="00BE0B66" w:rsidP="00A673A2">
      <w:pPr>
        <w:rPr>
          <w:rFonts w:ascii="Arial" w:eastAsia="Arial" w:hAnsi="Arial" w:cs="Arial"/>
          <w:spacing w:val="-3"/>
        </w:rPr>
      </w:pPr>
    </w:p>
    <w:p w14:paraId="0FBE1560" w14:textId="77777777" w:rsidR="00A673A2" w:rsidRPr="00CE6338" w:rsidRDefault="00A673A2" w:rsidP="006C6F2F">
      <w:pPr>
        <w:pStyle w:val="Heading21"/>
      </w:pPr>
      <w:bookmarkStart w:id="19" w:name="_Toc104283419"/>
      <w:r w:rsidRPr="00CE6338">
        <w:t>Real Estate Rental Bonds</w:t>
      </w:r>
      <w:bookmarkEnd w:id="19"/>
    </w:p>
    <w:p w14:paraId="0A46CCC9" w14:textId="77777777" w:rsidR="00A673A2" w:rsidRPr="00515044" w:rsidRDefault="00A673A2" w:rsidP="00A673A2">
      <w:pPr>
        <w:jc w:val="both"/>
        <w:rPr>
          <w:rFonts w:ascii="Arial" w:eastAsia="Arial" w:hAnsi="Arial" w:cs="Arial"/>
          <w:lang w:val="en-US"/>
        </w:rPr>
      </w:pPr>
      <w:r w:rsidRPr="00515044">
        <w:rPr>
          <w:rFonts w:ascii="Arial" w:eastAsia="Arial" w:hAnsi="Arial" w:cs="Arial"/>
          <w:lang w:val="en-US"/>
        </w:rPr>
        <w:t xml:space="preserve">Where Council holds real estate rental bonds on behalf of tenants, including South Melbourne Market stallholders, these are required to be returned to the tenant upon full satisfaction of the terms of the lease agreement.  It is a legislative requirement that these funds are to be returned with interest earned by Council over the term of the lease agreement. </w:t>
      </w:r>
    </w:p>
    <w:p w14:paraId="592AE461" w14:textId="64D78379" w:rsidR="00A673A2" w:rsidRPr="00515044" w:rsidRDefault="00A673A2" w:rsidP="00A673A2">
      <w:pPr>
        <w:jc w:val="both"/>
        <w:rPr>
          <w:rFonts w:ascii="Arial" w:eastAsia="Arial" w:hAnsi="Arial" w:cs="Arial"/>
          <w:lang w:val="en-US"/>
        </w:rPr>
      </w:pPr>
      <w:r w:rsidRPr="00515044">
        <w:rPr>
          <w:rFonts w:ascii="Arial" w:eastAsia="Arial" w:hAnsi="Arial" w:cs="Arial"/>
          <w:lang w:val="en-US"/>
        </w:rPr>
        <w:t xml:space="preserve">Officers will apply interest on rental bonds at the weighted average rate of return earned by Council and compounded annually </w:t>
      </w:r>
      <w:r w:rsidR="00FB34A2" w:rsidRPr="00515044">
        <w:rPr>
          <w:rFonts w:ascii="Arial" w:eastAsia="Arial" w:hAnsi="Arial" w:cs="Arial"/>
          <w:lang w:val="en-US"/>
        </w:rPr>
        <w:t>on</w:t>
      </w:r>
      <w:r w:rsidRPr="00515044">
        <w:rPr>
          <w:rFonts w:ascii="Arial" w:eastAsia="Arial" w:hAnsi="Arial" w:cs="Arial"/>
          <w:lang w:val="en-US"/>
        </w:rPr>
        <w:t xml:space="preserve"> 30 June each relevant financial year.</w:t>
      </w:r>
    </w:p>
    <w:p w14:paraId="2283F004" w14:textId="77777777" w:rsidR="00E0037F" w:rsidRDefault="00E0037F" w:rsidP="0083437D">
      <w:pPr>
        <w:pStyle w:val="Heading21"/>
      </w:pPr>
    </w:p>
    <w:p w14:paraId="3CE7BFDA" w14:textId="58071380" w:rsidR="0083437D" w:rsidRPr="00CE6338" w:rsidRDefault="0083437D" w:rsidP="0083437D">
      <w:pPr>
        <w:pStyle w:val="Heading21"/>
      </w:pPr>
      <w:r w:rsidRPr="00CE6338">
        <w:t xml:space="preserve">Delegation </w:t>
      </w:r>
    </w:p>
    <w:p w14:paraId="21B7D514" w14:textId="77777777" w:rsidR="0083437D" w:rsidRPr="00515044" w:rsidRDefault="0083437D" w:rsidP="0083437D">
      <w:pPr>
        <w:spacing w:before="120"/>
        <w:ind w:right="53"/>
        <w:jc w:val="both"/>
        <w:rPr>
          <w:rFonts w:ascii="Arial" w:eastAsia="Arial" w:hAnsi="Arial" w:cs="Arial"/>
          <w:spacing w:val="-3"/>
        </w:rPr>
      </w:pPr>
      <w:r w:rsidRPr="00515044">
        <w:rPr>
          <w:rFonts w:ascii="Arial" w:eastAsia="Arial" w:hAnsi="Arial" w:cs="Arial"/>
          <w:spacing w:val="-3"/>
        </w:rPr>
        <w:t>The Investment and Treasury Management Policy must be endorsed by the Executive Leadership Team prior to being presented to the Audit and Risk Committee.</w:t>
      </w:r>
    </w:p>
    <w:p w14:paraId="247633AA" w14:textId="36A227B6" w:rsidR="0083437D" w:rsidRPr="00515044" w:rsidRDefault="0083437D" w:rsidP="0083437D">
      <w:pPr>
        <w:spacing w:before="120"/>
        <w:ind w:right="53"/>
        <w:jc w:val="both"/>
        <w:rPr>
          <w:rFonts w:ascii="Arial" w:eastAsia="Arial" w:hAnsi="Arial" w:cs="Arial"/>
          <w:spacing w:val="-3"/>
        </w:rPr>
      </w:pPr>
      <w:r w:rsidRPr="00515044">
        <w:rPr>
          <w:rFonts w:ascii="Arial" w:eastAsia="Arial" w:hAnsi="Arial" w:cs="Arial"/>
          <w:spacing w:val="-3"/>
        </w:rPr>
        <w:t xml:space="preserve">The Audit and Risk Committee are responsible for reviewing and endorsing as part of the </w:t>
      </w:r>
      <w:proofErr w:type="gramStart"/>
      <w:r w:rsidR="00D55592">
        <w:rPr>
          <w:rFonts w:ascii="Arial" w:eastAsia="Arial" w:hAnsi="Arial" w:cs="Arial"/>
          <w:spacing w:val="-3"/>
        </w:rPr>
        <w:t>committees</w:t>
      </w:r>
      <w:proofErr w:type="gramEnd"/>
      <w:r w:rsidR="00661151">
        <w:rPr>
          <w:rFonts w:ascii="Arial" w:eastAsia="Arial" w:hAnsi="Arial" w:cs="Arial"/>
          <w:spacing w:val="-3"/>
        </w:rPr>
        <w:t xml:space="preserve"> calendar of </w:t>
      </w:r>
      <w:r w:rsidR="00D55592">
        <w:rPr>
          <w:rFonts w:ascii="Arial" w:eastAsia="Arial" w:hAnsi="Arial" w:cs="Arial"/>
          <w:spacing w:val="-3"/>
        </w:rPr>
        <w:t>events.</w:t>
      </w:r>
    </w:p>
    <w:p w14:paraId="65A8BA9A" w14:textId="77777777" w:rsidR="0083437D" w:rsidRPr="00515044" w:rsidRDefault="0083437D" w:rsidP="0083437D">
      <w:pPr>
        <w:spacing w:before="120"/>
        <w:ind w:right="53"/>
        <w:jc w:val="both"/>
        <w:rPr>
          <w:rFonts w:ascii="Arial" w:eastAsia="Arial" w:hAnsi="Arial" w:cs="Arial"/>
          <w:spacing w:val="-3"/>
        </w:rPr>
      </w:pPr>
      <w:r w:rsidRPr="00515044">
        <w:rPr>
          <w:rFonts w:ascii="Arial" w:eastAsia="Arial" w:hAnsi="Arial" w:cs="Arial"/>
          <w:spacing w:val="-3"/>
        </w:rPr>
        <w:t>The Policy is then presented to Council for final approval and adoption prior to implementation by the Finance Department.</w:t>
      </w:r>
    </w:p>
    <w:p w14:paraId="6BB0BF17" w14:textId="02760FB9" w:rsidR="00D5728F" w:rsidRPr="005D6722" w:rsidRDefault="00D5728F" w:rsidP="00F41D18">
      <w:pPr>
        <w:rPr>
          <w:rFonts w:ascii="Arial" w:hAnsi="Arial" w:cs="Arial"/>
          <w:vanish/>
          <w:highlight w:val="lightGray"/>
        </w:rPr>
      </w:pPr>
    </w:p>
    <w:p w14:paraId="3589D4E5" w14:textId="337D1DCA" w:rsidR="008D5186" w:rsidRPr="005D6722" w:rsidRDefault="008D5186" w:rsidP="005A6EEC">
      <w:pPr>
        <w:pStyle w:val="Heading21"/>
        <w:numPr>
          <w:ilvl w:val="0"/>
          <w:numId w:val="2"/>
        </w:numPr>
        <w:rPr>
          <w:szCs w:val="22"/>
        </w:rPr>
      </w:pPr>
      <w:r w:rsidRPr="005D6722">
        <w:rPr>
          <w:szCs w:val="22"/>
        </w:rPr>
        <w:t xml:space="preserve">Supplementary </w:t>
      </w:r>
      <w:r w:rsidR="00D5728F" w:rsidRPr="005D6722">
        <w:rPr>
          <w:szCs w:val="22"/>
        </w:rPr>
        <w:t xml:space="preserve">policy </w:t>
      </w:r>
      <w:r w:rsidRPr="005D6722">
        <w:rPr>
          <w:szCs w:val="22"/>
        </w:rPr>
        <w:t>documents</w:t>
      </w:r>
    </w:p>
    <w:p w14:paraId="03C1E4B1" w14:textId="0645EDEC" w:rsidR="006423F0" w:rsidRDefault="00FB34A2" w:rsidP="00F41D18">
      <w:pPr>
        <w:rPr>
          <w:rFonts w:ascii="Arial" w:hAnsi="Arial" w:cs="Arial"/>
          <w:vanish/>
        </w:rPr>
      </w:pPr>
      <w:r w:rsidRPr="00515044">
        <w:rPr>
          <w:rFonts w:ascii="Arial" w:hAnsi="Arial" w:cs="Arial"/>
          <w:vanish/>
        </w:rPr>
        <w:t>N/A</w:t>
      </w:r>
    </w:p>
    <w:p w14:paraId="6635A313" w14:textId="77777777" w:rsidR="0099334E" w:rsidRPr="00515044" w:rsidRDefault="0099334E" w:rsidP="00F41D18">
      <w:pPr>
        <w:rPr>
          <w:rFonts w:ascii="Arial" w:hAnsi="Arial" w:cs="Arial"/>
          <w:vanish/>
        </w:rPr>
      </w:pPr>
    </w:p>
    <w:p w14:paraId="494CCCCB" w14:textId="47C62500" w:rsidR="00D5728F" w:rsidRPr="005D6722" w:rsidRDefault="00090F95" w:rsidP="005A6EEC">
      <w:pPr>
        <w:pStyle w:val="Heading21"/>
        <w:numPr>
          <w:ilvl w:val="0"/>
          <w:numId w:val="2"/>
        </w:numPr>
        <w:rPr>
          <w:szCs w:val="22"/>
        </w:rPr>
      </w:pPr>
      <w:r w:rsidRPr="005D6722">
        <w:rPr>
          <w:szCs w:val="22"/>
        </w:rPr>
        <w:t>Related legislation and documents</w:t>
      </w:r>
    </w:p>
    <w:p w14:paraId="4A8E0589" w14:textId="77777777" w:rsidR="00FB34A2" w:rsidRPr="00515044" w:rsidRDefault="00FB34A2" w:rsidP="00515044">
      <w:pPr>
        <w:tabs>
          <w:tab w:val="left" w:pos="567"/>
        </w:tabs>
        <w:spacing w:before="120" w:line="240" w:lineRule="auto"/>
        <w:jc w:val="both"/>
        <w:rPr>
          <w:rFonts w:ascii="Arial" w:hAnsi="Arial" w:cs="Arial"/>
        </w:rPr>
      </w:pPr>
      <w:r w:rsidRPr="00515044">
        <w:rPr>
          <w:rFonts w:ascii="Arial" w:hAnsi="Arial" w:cs="Arial"/>
        </w:rPr>
        <w:t xml:space="preserve">All investments are to comply with Local Government Act 2020 (LGA) Section 103 and Australian Accounting Standards. </w:t>
      </w:r>
    </w:p>
    <w:p w14:paraId="45773143" w14:textId="77777777" w:rsidR="00FB34A2" w:rsidRPr="00515044" w:rsidRDefault="00FB34A2" w:rsidP="00515044">
      <w:pPr>
        <w:tabs>
          <w:tab w:val="left" w:pos="567"/>
        </w:tabs>
        <w:spacing w:before="120" w:line="240" w:lineRule="auto"/>
        <w:jc w:val="both"/>
        <w:rPr>
          <w:rFonts w:ascii="Arial" w:hAnsi="Arial" w:cs="Arial"/>
        </w:rPr>
      </w:pPr>
      <w:r w:rsidRPr="00515044">
        <w:rPr>
          <w:rFonts w:ascii="Arial" w:hAnsi="Arial" w:cs="Arial"/>
        </w:rPr>
        <w:t xml:space="preserve">Investment Types permitted under S103 of the Local Government Act: </w:t>
      </w:r>
    </w:p>
    <w:p w14:paraId="08A99EAD" w14:textId="77777777" w:rsidR="00FB34A2" w:rsidRPr="00515044" w:rsidRDefault="00FB34A2" w:rsidP="00515044">
      <w:pPr>
        <w:pStyle w:val="ListParagraph"/>
        <w:tabs>
          <w:tab w:val="left" w:pos="567"/>
        </w:tabs>
        <w:spacing w:before="120" w:line="240" w:lineRule="auto"/>
        <w:ind w:left="360"/>
        <w:jc w:val="both"/>
        <w:rPr>
          <w:rFonts w:ascii="Arial" w:hAnsi="Arial" w:cs="Arial"/>
        </w:rPr>
      </w:pPr>
      <w:r w:rsidRPr="00515044">
        <w:rPr>
          <w:rFonts w:ascii="Arial" w:hAnsi="Arial" w:cs="Arial"/>
        </w:rPr>
        <w:t>•</w:t>
      </w:r>
      <w:r w:rsidRPr="00515044">
        <w:rPr>
          <w:rFonts w:ascii="Arial" w:hAnsi="Arial" w:cs="Arial"/>
        </w:rPr>
        <w:tab/>
        <w:t xml:space="preserve">in Government securities of the Commonwealth </w:t>
      </w:r>
    </w:p>
    <w:p w14:paraId="6E390353" w14:textId="77777777" w:rsidR="00FB34A2" w:rsidRPr="00515044" w:rsidRDefault="00FB34A2" w:rsidP="00515044">
      <w:pPr>
        <w:pStyle w:val="ListParagraph"/>
        <w:tabs>
          <w:tab w:val="left" w:pos="567"/>
        </w:tabs>
        <w:spacing w:before="120" w:line="240" w:lineRule="auto"/>
        <w:ind w:left="360"/>
        <w:jc w:val="both"/>
        <w:rPr>
          <w:rFonts w:ascii="Arial" w:hAnsi="Arial" w:cs="Arial"/>
        </w:rPr>
      </w:pPr>
      <w:r w:rsidRPr="00515044">
        <w:rPr>
          <w:rFonts w:ascii="Arial" w:hAnsi="Arial" w:cs="Arial"/>
        </w:rPr>
        <w:t>•</w:t>
      </w:r>
      <w:r w:rsidRPr="00515044">
        <w:rPr>
          <w:rFonts w:ascii="Arial" w:hAnsi="Arial" w:cs="Arial"/>
        </w:rPr>
        <w:tab/>
        <w:t xml:space="preserve">in securities guaranteed by the Government of Victoria </w:t>
      </w:r>
    </w:p>
    <w:p w14:paraId="1C417500" w14:textId="77777777" w:rsidR="00FB34A2" w:rsidRPr="00515044" w:rsidRDefault="00FB34A2" w:rsidP="00515044">
      <w:pPr>
        <w:pStyle w:val="ListParagraph"/>
        <w:tabs>
          <w:tab w:val="left" w:pos="567"/>
        </w:tabs>
        <w:spacing w:before="120" w:line="240" w:lineRule="auto"/>
        <w:ind w:left="360"/>
        <w:jc w:val="both"/>
        <w:rPr>
          <w:rFonts w:ascii="Arial" w:hAnsi="Arial" w:cs="Arial"/>
        </w:rPr>
      </w:pPr>
      <w:r w:rsidRPr="00515044">
        <w:rPr>
          <w:rFonts w:ascii="Arial" w:hAnsi="Arial" w:cs="Arial"/>
        </w:rPr>
        <w:t>•</w:t>
      </w:r>
      <w:r w:rsidRPr="00515044">
        <w:rPr>
          <w:rFonts w:ascii="Arial" w:hAnsi="Arial" w:cs="Arial"/>
        </w:rPr>
        <w:tab/>
        <w:t xml:space="preserve">with an authorised deposit-taking institution </w:t>
      </w:r>
    </w:p>
    <w:p w14:paraId="16323F91" w14:textId="77777777" w:rsidR="00FB34A2" w:rsidRPr="00515044" w:rsidRDefault="00FB34A2" w:rsidP="00515044">
      <w:pPr>
        <w:pStyle w:val="ListParagraph"/>
        <w:tabs>
          <w:tab w:val="left" w:pos="567"/>
        </w:tabs>
        <w:spacing w:before="120" w:line="240" w:lineRule="auto"/>
        <w:ind w:left="360"/>
        <w:jc w:val="both"/>
        <w:rPr>
          <w:rFonts w:ascii="Arial" w:hAnsi="Arial" w:cs="Arial"/>
        </w:rPr>
      </w:pPr>
      <w:r w:rsidRPr="00515044">
        <w:rPr>
          <w:rFonts w:ascii="Arial" w:hAnsi="Arial" w:cs="Arial"/>
        </w:rPr>
        <w:t>•</w:t>
      </w:r>
      <w:r w:rsidRPr="00515044">
        <w:rPr>
          <w:rFonts w:ascii="Arial" w:hAnsi="Arial" w:cs="Arial"/>
        </w:rPr>
        <w:tab/>
        <w:t xml:space="preserve">with any </w:t>
      </w:r>
      <w:proofErr w:type="gramStart"/>
      <w:r w:rsidRPr="00515044">
        <w:rPr>
          <w:rFonts w:ascii="Arial" w:hAnsi="Arial" w:cs="Arial"/>
        </w:rPr>
        <w:t>Financial</w:t>
      </w:r>
      <w:proofErr w:type="gramEnd"/>
      <w:r w:rsidRPr="00515044">
        <w:rPr>
          <w:rFonts w:ascii="Arial" w:hAnsi="Arial" w:cs="Arial"/>
        </w:rPr>
        <w:t xml:space="preserve"> institution guaranteed by the Government of Victoria </w:t>
      </w:r>
    </w:p>
    <w:p w14:paraId="20BD6ADB" w14:textId="77777777" w:rsidR="00FB34A2" w:rsidRPr="00515044" w:rsidRDefault="00FB34A2" w:rsidP="00515044">
      <w:pPr>
        <w:pStyle w:val="ListParagraph"/>
        <w:tabs>
          <w:tab w:val="left" w:pos="567"/>
        </w:tabs>
        <w:spacing w:before="120" w:line="240" w:lineRule="auto"/>
        <w:ind w:left="360"/>
        <w:jc w:val="both"/>
        <w:rPr>
          <w:rFonts w:ascii="Arial" w:hAnsi="Arial" w:cs="Arial"/>
        </w:rPr>
      </w:pPr>
      <w:r w:rsidRPr="00515044">
        <w:rPr>
          <w:rFonts w:ascii="Arial" w:hAnsi="Arial" w:cs="Arial"/>
        </w:rPr>
        <w:t>•</w:t>
      </w:r>
      <w:r w:rsidRPr="00515044">
        <w:rPr>
          <w:rFonts w:ascii="Arial" w:hAnsi="Arial" w:cs="Arial"/>
        </w:rPr>
        <w:tab/>
        <w:t xml:space="preserve">On deposit with an eligible money market dealer within the meaning of the Corporations Act </w:t>
      </w:r>
    </w:p>
    <w:p w14:paraId="76E21EFC" w14:textId="4429AC32" w:rsidR="00DD5D18" w:rsidRPr="0094588D" w:rsidRDefault="00FB34A2" w:rsidP="00DD5D18">
      <w:pPr>
        <w:pStyle w:val="ListParagraph"/>
        <w:tabs>
          <w:tab w:val="left" w:pos="567"/>
        </w:tabs>
        <w:spacing w:before="120" w:line="240" w:lineRule="auto"/>
        <w:ind w:left="360"/>
        <w:jc w:val="both"/>
        <w:rPr>
          <w:rFonts w:ascii="Arial" w:hAnsi="Arial" w:cs="Arial"/>
        </w:rPr>
      </w:pPr>
      <w:r w:rsidRPr="00515044">
        <w:rPr>
          <w:rFonts w:ascii="Arial" w:hAnsi="Arial" w:cs="Arial"/>
        </w:rPr>
        <w:lastRenderedPageBreak/>
        <w:t>•</w:t>
      </w:r>
      <w:r w:rsidRPr="00515044">
        <w:rPr>
          <w:rFonts w:ascii="Arial" w:hAnsi="Arial" w:cs="Arial"/>
        </w:rPr>
        <w:tab/>
        <w:t>Any other manner approved by the Minister after consultation with the Treasurer either generally or specifically, to be an authorised manner of investment for the purposes of this section</w:t>
      </w:r>
      <w:r w:rsidR="00DD5D18">
        <w:rPr>
          <w:rStyle w:val="FootnoteReference"/>
          <w:rFonts w:ascii="Arial" w:hAnsi="Arial" w:cs="Arial"/>
        </w:rPr>
        <w:footnoteReference w:id="2"/>
      </w:r>
    </w:p>
    <w:p w14:paraId="668AA5E7" w14:textId="2CAB86AE" w:rsidR="00090F95" w:rsidRPr="005D6722" w:rsidRDefault="00090F95" w:rsidP="00090F95">
      <w:pPr>
        <w:rPr>
          <w:rFonts w:ascii="Arial" w:hAnsi="Arial" w:cs="Arial"/>
          <w:u w:val="single"/>
        </w:rPr>
      </w:pPr>
      <w:r w:rsidRPr="005D6722">
        <w:rPr>
          <w:rFonts w:ascii="Arial" w:hAnsi="Arial" w:cs="Arial"/>
          <w:u w:val="single"/>
        </w:rPr>
        <w:t>Child Safe</w:t>
      </w:r>
    </w:p>
    <w:p w14:paraId="700B7C89" w14:textId="12D7310B" w:rsidR="00090F95" w:rsidRPr="005D6722" w:rsidRDefault="00090F95" w:rsidP="00515044">
      <w:pPr>
        <w:jc w:val="both"/>
        <w:rPr>
          <w:rFonts w:ascii="Arial" w:hAnsi="Arial" w:cs="Arial"/>
        </w:rPr>
      </w:pPr>
      <w:r w:rsidRPr="005D6722">
        <w:rPr>
          <w:rFonts w:ascii="Arial" w:hAnsi="Arial" w:cs="Arial"/>
        </w:rPr>
        <w:t xml:space="preserve">The City of Port Phillip is a Child Safe organisation and has a legal and moral responsibility to understand and activate their role in preventing, detecting, </w:t>
      </w:r>
      <w:r w:rsidR="00D55592" w:rsidRPr="005D6722">
        <w:rPr>
          <w:rFonts w:ascii="Arial" w:hAnsi="Arial" w:cs="Arial"/>
        </w:rPr>
        <w:t>responding,</w:t>
      </w:r>
      <w:r w:rsidRPr="005D6722">
        <w:rPr>
          <w:rFonts w:ascii="Arial" w:hAnsi="Arial" w:cs="Arial"/>
        </w:rPr>
        <w:t xml:space="preserve"> and reporting any Child Safety concerns.  Council has zero tolerance for child abuse and is actively committed to embedding a culture of safety, wellbeing and inclusion for children and young people. </w:t>
      </w:r>
    </w:p>
    <w:p w14:paraId="667C3A7A" w14:textId="0C3A5282" w:rsidR="00090F95" w:rsidRPr="005D6722" w:rsidRDefault="00090F95" w:rsidP="00515044">
      <w:pPr>
        <w:jc w:val="both"/>
        <w:rPr>
          <w:rFonts w:ascii="Arial" w:hAnsi="Arial" w:cs="Arial"/>
          <w:vanish/>
        </w:rPr>
      </w:pPr>
      <w:r w:rsidRPr="005D6722">
        <w:rPr>
          <w:rFonts w:ascii="Arial" w:hAnsi="Arial" w:cs="Arial"/>
        </w:rPr>
        <w:t>Consideration has been given to the Child Safe Standards in the development of this policy.</w:t>
      </w:r>
    </w:p>
    <w:p w14:paraId="584CA05E" w14:textId="77777777" w:rsidR="0099334E" w:rsidRDefault="0099334E" w:rsidP="00090F95">
      <w:pPr>
        <w:rPr>
          <w:rFonts w:ascii="Arial" w:hAnsi="Arial" w:cs="Arial"/>
          <w:u w:val="single"/>
        </w:rPr>
      </w:pPr>
    </w:p>
    <w:p w14:paraId="46DC4CA9" w14:textId="5B8A00C6" w:rsidR="00090F95" w:rsidRPr="005D6722" w:rsidRDefault="00090F95" w:rsidP="00090F95">
      <w:pPr>
        <w:rPr>
          <w:rFonts w:ascii="Arial" w:hAnsi="Arial" w:cs="Arial"/>
          <w:u w:val="single"/>
        </w:rPr>
      </w:pPr>
      <w:r w:rsidRPr="005D6722">
        <w:rPr>
          <w:rFonts w:ascii="Arial" w:hAnsi="Arial" w:cs="Arial"/>
          <w:u w:val="single"/>
        </w:rPr>
        <w:t>Gender Equality</w:t>
      </w:r>
    </w:p>
    <w:p w14:paraId="0C75D048" w14:textId="77777777" w:rsidR="00090F95" w:rsidRPr="005D6722" w:rsidRDefault="00090F95" w:rsidP="00090F95">
      <w:pPr>
        <w:rPr>
          <w:rFonts w:ascii="Arial" w:hAnsi="Arial" w:cs="Arial"/>
        </w:rPr>
      </w:pPr>
      <w:r w:rsidRPr="005D6722">
        <w:rPr>
          <w:rFonts w:ascii="Arial" w:hAnsi="Arial" w:cs="Arial"/>
        </w:rPr>
        <w:t xml:space="preserve">Under the </w:t>
      </w:r>
      <w:r w:rsidRPr="005D6722">
        <w:rPr>
          <w:rFonts w:ascii="Arial" w:hAnsi="Arial" w:cs="Arial"/>
          <w:i/>
          <w:iCs/>
        </w:rPr>
        <w:t>Gender Equality Act 2020</w:t>
      </w:r>
      <w:r w:rsidRPr="005D6722">
        <w:rPr>
          <w:rFonts w:ascii="Arial" w:hAnsi="Arial" w:cs="Arial"/>
        </w:rPr>
        <w:t xml:space="preserve">, Council has a positive duty to advance gender equality in our organisation and our community. </w:t>
      </w:r>
    </w:p>
    <w:p w14:paraId="0503D15F" w14:textId="02AF8099" w:rsidR="00090F95" w:rsidRPr="005D6722" w:rsidRDefault="00090F95" w:rsidP="00090F95">
      <w:pPr>
        <w:rPr>
          <w:rFonts w:ascii="Arial" w:hAnsi="Arial" w:cs="Arial"/>
          <w:vanish/>
        </w:rPr>
      </w:pPr>
      <w:r w:rsidRPr="005D6722">
        <w:rPr>
          <w:rFonts w:ascii="Arial" w:hAnsi="Arial" w:cs="Arial"/>
        </w:rPr>
        <w:t xml:space="preserve">Through the development of this policy, Council have assessed any impacts for people of different genders (women/girls, men/boys and people who are gender diverse). While gender impact assessment starts with gender, it also has considered impacts of other social factors such as age, Aboriginality, race, religion, (dis)ability, sexual </w:t>
      </w:r>
      <w:r w:rsidR="00AC6E27" w:rsidRPr="005D6722">
        <w:rPr>
          <w:rFonts w:ascii="Arial" w:hAnsi="Arial" w:cs="Arial"/>
        </w:rPr>
        <w:t>orientation,</w:t>
      </w:r>
      <w:r w:rsidRPr="005D6722">
        <w:rPr>
          <w:rFonts w:ascii="Arial" w:hAnsi="Arial" w:cs="Arial"/>
        </w:rPr>
        <w:t xml:space="preserve"> and socio-economic status.</w:t>
      </w:r>
    </w:p>
    <w:p w14:paraId="5AA1E311" w14:textId="39BB969F" w:rsidR="00843643" w:rsidRPr="00843643" w:rsidRDefault="00843643" w:rsidP="00090F95">
      <w:pPr>
        <w:rPr>
          <w:rFonts w:ascii="Arial" w:hAnsi="Arial" w:cs="Arial"/>
          <w:vanish/>
          <w:highlight w:val="lightGray"/>
        </w:rPr>
      </w:pPr>
    </w:p>
    <w:p w14:paraId="18C1C792" w14:textId="463B1EF6" w:rsidR="009C3FB2" w:rsidRPr="00F41D18" w:rsidRDefault="009C3FB2" w:rsidP="009C3FB2">
      <w:pPr>
        <w:pStyle w:val="Heading21"/>
        <w:numPr>
          <w:ilvl w:val="0"/>
          <w:numId w:val="2"/>
        </w:numPr>
      </w:pPr>
      <w:r>
        <w:t>Definitions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49"/>
        <w:gridCol w:w="6421"/>
        <w:gridCol w:w="258"/>
      </w:tblGrid>
      <w:tr w:rsidR="009C3FB2" w:rsidRPr="002F51B4" w14:paraId="179872B1" w14:textId="77777777" w:rsidTr="00292216">
        <w:trPr>
          <w:tblHeader/>
        </w:trPr>
        <w:tc>
          <w:tcPr>
            <w:tcW w:w="3114" w:type="dxa"/>
            <w:shd w:val="clear" w:color="auto" w:fill="196BAC"/>
          </w:tcPr>
          <w:p w14:paraId="5D11E6EE" w14:textId="77777777" w:rsidR="009C3FB2" w:rsidRPr="002F51B4" w:rsidRDefault="009C3FB2" w:rsidP="00292216">
            <w:pPr>
              <w:pStyle w:val="Tableheading"/>
            </w:pPr>
            <w:r w:rsidRPr="002F51B4">
              <w:t>Term</w:t>
            </w:r>
          </w:p>
        </w:tc>
        <w:tc>
          <w:tcPr>
            <w:tcW w:w="6514" w:type="dxa"/>
            <w:gridSpan w:val="2"/>
            <w:shd w:val="clear" w:color="auto" w:fill="196BAC"/>
          </w:tcPr>
          <w:p w14:paraId="12D52FD3" w14:textId="77777777" w:rsidR="009C3FB2" w:rsidRPr="002F51B4" w:rsidRDefault="009C3FB2" w:rsidP="00292216">
            <w:pPr>
              <w:pStyle w:val="Tableheading"/>
            </w:pPr>
            <w:r w:rsidRPr="002F51B4">
              <w:t>Definition</w:t>
            </w:r>
          </w:p>
        </w:tc>
      </w:tr>
      <w:tr w:rsidR="00B745FD" w:rsidRPr="002F51B4" w14:paraId="1CFBB89F" w14:textId="77777777" w:rsidTr="00A41E08">
        <w:trPr>
          <w:gridAfter w:val="1"/>
          <w:wAfter w:w="278" w:type="dxa"/>
        </w:trPr>
        <w:tc>
          <w:tcPr>
            <w:tcW w:w="3114" w:type="dxa"/>
            <w:shd w:val="clear" w:color="auto" w:fill="auto"/>
          </w:tcPr>
          <w:p w14:paraId="3705184A" w14:textId="370B82A2" w:rsidR="00190128" w:rsidRPr="00515044" w:rsidRDefault="00190128" w:rsidP="00F41D18">
            <w:pPr>
              <w:rPr>
                <w:rFonts w:ascii="Arial" w:eastAsia="Arial" w:hAnsi="Arial" w:cs="Arial"/>
                <w:spacing w:val="-3"/>
              </w:rPr>
            </w:pPr>
            <w:r>
              <w:rPr>
                <w:rFonts w:ascii="Arial" w:eastAsia="Arial" w:hAnsi="Arial" w:cs="Arial"/>
                <w:spacing w:val="-3"/>
              </w:rPr>
              <w:t>AFMA</w:t>
            </w:r>
          </w:p>
        </w:tc>
        <w:tc>
          <w:tcPr>
            <w:tcW w:w="6514" w:type="dxa"/>
            <w:shd w:val="clear" w:color="auto" w:fill="auto"/>
          </w:tcPr>
          <w:p w14:paraId="5981AB1E" w14:textId="206D683A" w:rsidR="00190128" w:rsidRPr="00515044" w:rsidRDefault="00190128" w:rsidP="00F41D18">
            <w:pPr>
              <w:rPr>
                <w:rFonts w:ascii="Arial" w:eastAsia="Arial" w:hAnsi="Arial" w:cs="Arial"/>
                <w:spacing w:val="-3"/>
              </w:rPr>
            </w:pPr>
            <w:r>
              <w:rPr>
                <w:rFonts w:ascii="Arial" w:eastAsia="Arial" w:hAnsi="Arial" w:cs="Arial"/>
                <w:spacing w:val="-3"/>
              </w:rPr>
              <w:t>Australian Financial Markets Association</w:t>
            </w:r>
          </w:p>
        </w:tc>
      </w:tr>
      <w:tr w:rsidR="009C3FB2" w:rsidRPr="002F51B4" w14:paraId="1650B1F3" w14:textId="77777777" w:rsidTr="00292216">
        <w:tc>
          <w:tcPr>
            <w:tcW w:w="3114" w:type="dxa"/>
          </w:tcPr>
          <w:p w14:paraId="4E74BD40" w14:textId="6C8E14AC" w:rsidR="009C3FB2" w:rsidRPr="00922A97" w:rsidRDefault="00FE05A1" w:rsidP="00F41D18">
            <w:pPr>
              <w:rPr>
                <w:rFonts w:ascii="Arial" w:hAnsi="Arial" w:cs="Arial"/>
                <w:vanish/>
                <w:highlight w:val="lightGray"/>
              </w:rPr>
            </w:pPr>
            <w:r w:rsidRPr="00515044">
              <w:rPr>
                <w:rFonts w:ascii="Arial" w:eastAsia="Arial" w:hAnsi="Arial" w:cs="Arial"/>
                <w:spacing w:val="-3"/>
              </w:rPr>
              <w:t>At-Call</w:t>
            </w:r>
          </w:p>
        </w:tc>
        <w:tc>
          <w:tcPr>
            <w:tcW w:w="6514" w:type="dxa"/>
            <w:gridSpan w:val="2"/>
          </w:tcPr>
          <w:p w14:paraId="6F8D2EFE" w14:textId="21BBEC31" w:rsidR="009C3FB2" w:rsidRPr="00922A97" w:rsidRDefault="00FE05A1" w:rsidP="00F41D18">
            <w:pPr>
              <w:rPr>
                <w:rFonts w:ascii="Arial" w:hAnsi="Arial" w:cs="Arial"/>
                <w:vanish/>
                <w:highlight w:val="lightGray"/>
              </w:rPr>
            </w:pPr>
            <w:r w:rsidRPr="00515044">
              <w:rPr>
                <w:rFonts w:ascii="Arial" w:eastAsia="Arial" w:hAnsi="Arial" w:cs="Arial"/>
                <w:spacing w:val="-3"/>
              </w:rPr>
              <w:t>Refers to investments where the investment can be redeemed within 30 days without penalty.  It does not contemplate the trade of investments such as floating rate notes and bonds in the secondary securities market.</w:t>
            </w:r>
          </w:p>
        </w:tc>
      </w:tr>
      <w:tr w:rsidR="00922A97" w:rsidRPr="002F51B4" w14:paraId="15F6FE52" w14:textId="77777777" w:rsidTr="00292216">
        <w:tc>
          <w:tcPr>
            <w:tcW w:w="3114" w:type="dxa"/>
          </w:tcPr>
          <w:p w14:paraId="30C76B81" w14:textId="0D91D2C0" w:rsidR="00922A97" w:rsidRPr="002F51B4" w:rsidRDefault="00922A97" w:rsidP="00922A97">
            <w:pPr>
              <w:spacing w:after="160" w:line="259" w:lineRule="auto"/>
              <w:rPr>
                <w:rFonts w:ascii="Arial" w:hAnsi="Arial" w:cs="Arial"/>
                <w:sz w:val="20"/>
                <w:szCs w:val="20"/>
              </w:rPr>
            </w:pPr>
            <w:r w:rsidRPr="00922A97">
              <w:rPr>
                <w:rFonts w:ascii="Arial" w:eastAsia="Arial" w:hAnsi="Arial" w:cs="Arial"/>
                <w:color w:val="000000"/>
                <w:spacing w:val="-3"/>
              </w:rPr>
              <w:t>BBSW90</w:t>
            </w:r>
          </w:p>
        </w:tc>
        <w:tc>
          <w:tcPr>
            <w:tcW w:w="6514" w:type="dxa"/>
            <w:gridSpan w:val="2"/>
          </w:tcPr>
          <w:p w14:paraId="77AA5FA2" w14:textId="77777777" w:rsidR="00922A97" w:rsidRPr="00515044" w:rsidRDefault="00922A97" w:rsidP="00922A97">
            <w:pPr>
              <w:spacing w:before="60" w:after="60"/>
              <w:ind w:right="176"/>
              <w:jc w:val="both"/>
              <w:rPr>
                <w:rFonts w:ascii="Arial" w:eastAsia="Arial" w:hAnsi="Arial" w:cs="Arial"/>
                <w:spacing w:val="-3"/>
              </w:rPr>
            </w:pPr>
            <w:r w:rsidRPr="00515044">
              <w:rPr>
                <w:rFonts w:ascii="Arial" w:eastAsia="Arial" w:hAnsi="Arial" w:cs="Arial"/>
                <w:spacing w:val="-3"/>
              </w:rPr>
              <w:t xml:space="preserve">Interest rate for Bank Accepted Bills for a term of 90 days or Negotiable Certificates of Deposit for a term of 3 months.  The monthly average is published on the RBA homepage: </w:t>
            </w:r>
          </w:p>
          <w:p w14:paraId="6D73FE7D" w14:textId="5E23B692" w:rsidR="00922A97" w:rsidRPr="00922A97" w:rsidRDefault="00922A97" w:rsidP="00922A97">
            <w:pPr>
              <w:spacing w:after="160" w:line="259" w:lineRule="auto"/>
              <w:rPr>
                <w:rFonts w:ascii="Arial" w:hAnsi="Arial" w:cs="Arial"/>
                <w:sz w:val="20"/>
                <w:szCs w:val="20"/>
              </w:rPr>
            </w:pPr>
            <w:r w:rsidRPr="00515044">
              <w:rPr>
                <w:rFonts w:ascii="Arial" w:eastAsia="Arial" w:hAnsi="Arial" w:cs="Arial"/>
                <w:spacing w:val="-3"/>
              </w:rPr>
              <w:t>http://www.rba.gov.au/statistics/tables/index.html#interest-rates</w:t>
            </w:r>
          </w:p>
        </w:tc>
      </w:tr>
      <w:tr w:rsidR="00922A97" w:rsidRPr="002F51B4" w14:paraId="4AD28CA3" w14:textId="77777777" w:rsidTr="00292216">
        <w:tc>
          <w:tcPr>
            <w:tcW w:w="3114" w:type="dxa"/>
          </w:tcPr>
          <w:p w14:paraId="3F873B79" w14:textId="64024D2B" w:rsidR="00922A97" w:rsidRPr="00922A97" w:rsidRDefault="00922A97" w:rsidP="00922A97">
            <w:pPr>
              <w:spacing w:after="160" w:line="259" w:lineRule="auto"/>
              <w:rPr>
                <w:rFonts w:ascii="Arial" w:hAnsi="Arial" w:cs="Arial"/>
                <w:sz w:val="20"/>
                <w:szCs w:val="20"/>
              </w:rPr>
            </w:pPr>
            <w:r w:rsidRPr="00515044">
              <w:rPr>
                <w:rFonts w:ascii="Arial" w:eastAsia="Arial" w:hAnsi="Arial" w:cs="Arial"/>
                <w:spacing w:val="-3"/>
              </w:rPr>
              <w:t>Bonds</w:t>
            </w:r>
          </w:p>
        </w:tc>
        <w:tc>
          <w:tcPr>
            <w:tcW w:w="6514" w:type="dxa"/>
            <w:gridSpan w:val="2"/>
          </w:tcPr>
          <w:p w14:paraId="420166D3" w14:textId="18D6163E" w:rsidR="00922A97" w:rsidRPr="00515044" w:rsidRDefault="00922A97" w:rsidP="00922A97">
            <w:pPr>
              <w:spacing w:after="160" w:line="259" w:lineRule="auto"/>
              <w:rPr>
                <w:rFonts w:ascii="Arial" w:eastAsia="Arial" w:hAnsi="Arial" w:cs="Arial"/>
                <w:color w:val="000000"/>
                <w:spacing w:val="-3"/>
                <w:lang w:eastAsia="en-AU"/>
              </w:rPr>
            </w:pPr>
            <w:r w:rsidRPr="00922A97">
              <w:rPr>
                <w:rFonts w:ascii="Arial" w:eastAsia="Arial" w:hAnsi="Arial" w:cs="Arial"/>
                <w:color w:val="000000"/>
                <w:spacing w:val="-3"/>
                <w:lang w:eastAsia="en-AU"/>
              </w:rPr>
              <w:t>A bond is an instrument of indebtedness of the bond issuer to the holders.  Bondholders have a creditor stake in the company.  Therefore, bondholders have priority over stockholders but will rank behind secured creditors in the event of bankruptcy.  Bonds usually have a defined term, or maturity, after which the bond is redeemed.</w:t>
            </w:r>
          </w:p>
        </w:tc>
      </w:tr>
      <w:tr w:rsidR="00922A97" w:rsidRPr="002F51B4" w14:paraId="202DA362" w14:textId="77777777" w:rsidTr="00292216">
        <w:tc>
          <w:tcPr>
            <w:tcW w:w="3114" w:type="dxa"/>
          </w:tcPr>
          <w:p w14:paraId="763BDF53" w14:textId="061E6D64" w:rsidR="00922A97" w:rsidRPr="00922A97" w:rsidRDefault="00922A97" w:rsidP="00922A97">
            <w:pPr>
              <w:rPr>
                <w:rFonts w:ascii="Arial" w:eastAsia="Arial" w:hAnsi="Arial" w:cs="Arial"/>
                <w:spacing w:val="-3"/>
              </w:rPr>
            </w:pPr>
            <w:r w:rsidRPr="00515044">
              <w:rPr>
                <w:rFonts w:ascii="Arial" w:eastAsia="Arial" w:hAnsi="Arial" w:cs="Arial"/>
                <w:spacing w:val="-3"/>
              </w:rPr>
              <w:t>Credit ratings</w:t>
            </w:r>
          </w:p>
        </w:tc>
        <w:tc>
          <w:tcPr>
            <w:tcW w:w="6514" w:type="dxa"/>
            <w:gridSpan w:val="2"/>
          </w:tcPr>
          <w:p w14:paraId="71F35C6D" w14:textId="2EFC0350" w:rsidR="00922A97" w:rsidRPr="00922A97" w:rsidRDefault="00922A97" w:rsidP="00922A97">
            <w:pPr>
              <w:rPr>
                <w:rFonts w:ascii="Arial" w:eastAsia="Arial" w:hAnsi="Arial" w:cs="Arial"/>
                <w:color w:val="000000"/>
                <w:spacing w:val="-3"/>
                <w:lang w:eastAsia="en-AU"/>
              </w:rPr>
            </w:pPr>
            <w:r w:rsidRPr="00922A97">
              <w:rPr>
                <w:rFonts w:ascii="Arial" w:eastAsia="Arial" w:hAnsi="Arial" w:cs="Arial"/>
                <w:color w:val="000000"/>
                <w:spacing w:val="-3"/>
              </w:rPr>
              <w:t>A forward-looking opinion about the credit worthiness of the financial institution.  The credit rating used under this policy are assigned by Standard &amp; Poor’s, Fitch and Moody’s.</w:t>
            </w:r>
          </w:p>
        </w:tc>
      </w:tr>
      <w:tr w:rsidR="00922A97" w:rsidRPr="002F51B4" w14:paraId="30F1744A" w14:textId="77777777" w:rsidTr="00292216">
        <w:tc>
          <w:tcPr>
            <w:tcW w:w="3114" w:type="dxa"/>
          </w:tcPr>
          <w:p w14:paraId="08C3BD58" w14:textId="43752285" w:rsidR="00922A97" w:rsidRPr="00922A97" w:rsidRDefault="00922A97" w:rsidP="00922A97">
            <w:pPr>
              <w:rPr>
                <w:rFonts w:ascii="Arial" w:eastAsia="Arial" w:hAnsi="Arial" w:cs="Arial"/>
                <w:spacing w:val="-3"/>
              </w:rPr>
            </w:pPr>
            <w:r w:rsidRPr="00922A97">
              <w:rPr>
                <w:rFonts w:ascii="Arial" w:eastAsia="Times New Roman" w:hAnsi="Arial" w:cs="Arial"/>
                <w:color w:val="000000"/>
                <w:lang w:eastAsia="en-AU"/>
              </w:rPr>
              <w:t>Divestment</w:t>
            </w:r>
          </w:p>
        </w:tc>
        <w:tc>
          <w:tcPr>
            <w:tcW w:w="6514" w:type="dxa"/>
            <w:gridSpan w:val="2"/>
          </w:tcPr>
          <w:p w14:paraId="5843827A" w14:textId="6C923BE3" w:rsidR="00922A97" w:rsidRPr="00922A97" w:rsidRDefault="00922A97" w:rsidP="00922A97">
            <w:pPr>
              <w:rPr>
                <w:rFonts w:ascii="Arial" w:eastAsia="Arial" w:hAnsi="Arial" w:cs="Arial"/>
                <w:color w:val="000000"/>
                <w:spacing w:val="-3"/>
                <w:lang w:eastAsia="en-AU"/>
              </w:rPr>
            </w:pPr>
            <w:r w:rsidRPr="00922A97">
              <w:rPr>
                <w:rFonts w:ascii="Arial" w:eastAsia="Times New Roman" w:hAnsi="Arial" w:cs="Arial"/>
                <w:color w:val="000000"/>
                <w:lang w:eastAsia="en-AU"/>
              </w:rPr>
              <w:t xml:space="preserve">It is the process of selling/redeeming an investment to achieve financial, social or environmental goals.  It is commonly used to describe actions taken by organisations to reduce investments </w:t>
            </w:r>
            <w:r w:rsidRPr="00922A97">
              <w:rPr>
                <w:rFonts w:ascii="Arial" w:eastAsia="Times New Roman" w:hAnsi="Arial" w:cs="Arial"/>
                <w:color w:val="000000"/>
                <w:lang w:eastAsia="en-AU"/>
              </w:rPr>
              <w:lastRenderedPageBreak/>
              <w:t xml:space="preserve">that don’t comply with Corporate Social Responsibility commitments. </w:t>
            </w:r>
            <w:r w:rsidRPr="00922A97">
              <w:rPr>
                <w:rFonts w:ascii="Arial" w:eastAsia="Times New Roman" w:hAnsi="Arial" w:cs="Arial"/>
                <w:i/>
                <w:iCs/>
                <w:color w:val="000000"/>
                <w:lang w:eastAsia="en-AU"/>
              </w:rPr>
              <w:t xml:space="preserve"> </w:t>
            </w:r>
          </w:p>
        </w:tc>
      </w:tr>
      <w:tr w:rsidR="00922A97" w:rsidRPr="002F51B4" w14:paraId="380AB5CE" w14:textId="77777777" w:rsidTr="00292216">
        <w:tc>
          <w:tcPr>
            <w:tcW w:w="3114" w:type="dxa"/>
          </w:tcPr>
          <w:p w14:paraId="730155B9" w14:textId="6DD2EA77" w:rsidR="00922A97" w:rsidRPr="00922A97" w:rsidRDefault="00922A97" w:rsidP="00922A97">
            <w:pPr>
              <w:rPr>
                <w:rFonts w:ascii="Arial" w:eastAsia="Arial" w:hAnsi="Arial" w:cs="Arial"/>
                <w:spacing w:val="-3"/>
              </w:rPr>
            </w:pPr>
            <w:r w:rsidRPr="00922A97">
              <w:rPr>
                <w:rFonts w:ascii="Arial" w:eastAsia="Times New Roman" w:hAnsi="Arial" w:cs="Arial"/>
                <w:color w:val="000000"/>
                <w:lang w:eastAsia="en-AU"/>
              </w:rPr>
              <w:lastRenderedPageBreak/>
              <w:t>Financial institution</w:t>
            </w:r>
          </w:p>
        </w:tc>
        <w:tc>
          <w:tcPr>
            <w:tcW w:w="6514" w:type="dxa"/>
            <w:gridSpan w:val="2"/>
          </w:tcPr>
          <w:p w14:paraId="1542A042" w14:textId="70CA237A" w:rsidR="00922A97" w:rsidRPr="00922A97" w:rsidRDefault="00922A97" w:rsidP="00922A97">
            <w:pPr>
              <w:rPr>
                <w:rFonts w:ascii="Arial" w:eastAsia="Arial" w:hAnsi="Arial" w:cs="Arial"/>
                <w:color w:val="000000"/>
                <w:spacing w:val="-3"/>
                <w:lang w:eastAsia="en-AU"/>
              </w:rPr>
            </w:pPr>
            <w:r w:rsidRPr="00515044">
              <w:rPr>
                <w:rFonts w:ascii="Arial" w:hAnsi="Arial" w:cs="Arial"/>
                <w:bCs/>
              </w:rPr>
              <w:t>An authorised deposit-taking institution within the meaning of the Banking Act 1959 (Commonwealth).</w:t>
            </w:r>
          </w:p>
        </w:tc>
      </w:tr>
      <w:tr w:rsidR="00922A97" w:rsidRPr="002F51B4" w14:paraId="120823C8" w14:textId="77777777" w:rsidTr="00292216">
        <w:tc>
          <w:tcPr>
            <w:tcW w:w="3114" w:type="dxa"/>
          </w:tcPr>
          <w:p w14:paraId="5210CA35" w14:textId="70F333B9" w:rsidR="00922A97" w:rsidRPr="00922A97" w:rsidRDefault="008A5F52" w:rsidP="00922A97">
            <w:pPr>
              <w:rPr>
                <w:rFonts w:ascii="Arial" w:eastAsia="Arial" w:hAnsi="Arial" w:cs="Arial"/>
                <w:spacing w:val="-3"/>
              </w:rPr>
            </w:pPr>
            <w:r w:rsidRPr="008A5F52">
              <w:rPr>
                <w:rFonts w:ascii="Arial" w:eastAsia="Times New Roman" w:hAnsi="Arial" w:cs="Arial"/>
                <w:color w:val="000000"/>
                <w:lang w:eastAsia="en-AU"/>
              </w:rPr>
              <w:t>Victorian Funds Management Corporation (VFMC)</w:t>
            </w:r>
          </w:p>
        </w:tc>
        <w:tc>
          <w:tcPr>
            <w:tcW w:w="6514" w:type="dxa"/>
            <w:gridSpan w:val="2"/>
          </w:tcPr>
          <w:p w14:paraId="692A2CDE" w14:textId="5C2EE5E9" w:rsidR="00922A97" w:rsidRPr="00922A97" w:rsidRDefault="008A5F52" w:rsidP="00922A97">
            <w:pPr>
              <w:rPr>
                <w:rFonts w:ascii="Arial" w:eastAsia="Arial" w:hAnsi="Arial" w:cs="Arial"/>
                <w:color w:val="000000"/>
                <w:spacing w:val="-3"/>
                <w:lang w:eastAsia="en-AU"/>
              </w:rPr>
            </w:pPr>
            <w:r w:rsidRPr="008A5F52">
              <w:rPr>
                <w:rFonts w:ascii="Arial" w:eastAsia="Times New Roman" w:hAnsi="Arial" w:cs="Arial"/>
                <w:bCs/>
                <w:color w:val="000000"/>
                <w:lang w:eastAsia="en-AU"/>
              </w:rPr>
              <w:t>VFMC</w:t>
            </w:r>
            <w:r w:rsidR="00FF23F4">
              <w:rPr>
                <w:rFonts w:ascii="Arial" w:eastAsia="Times New Roman" w:hAnsi="Arial" w:cs="Arial"/>
                <w:bCs/>
                <w:color w:val="000000"/>
                <w:lang w:eastAsia="en-AU"/>
              </w:rPr>
              <w:t xml:space="preserve"> (managed fund)</w:t>
            </w:r>
            <w:r w:rsidRPr="008A5F52">
              <w:rPr>
                <w:rFonts w:ascii="Arial" w:eastAsia="Times New Roman" w:hAnsi="Arial" w:cs="Arial"/>
                <w:bCs/>
                <w:color w:val="000000"/>
                <w:lang w:eastAsia="en-AU"/>
              </w:rPr>
              <w:t xml:space="preserve"> is a semi-government organisation which manages $80 billion of assets</w:t>
            </w:r>
            <w:r w:rsidR="00E0037F">
              <w:rPr>
                <w:rFonts w:ascii="Arial" w:eastAsia="Times New Roman" w:hAnsi="Arial" w:cs="Arial"/>
                <w:bCs/>
                <w:color w:val="000000"/>
                <w:lang w:eastAsia="en-AU"/>
              </w:rPr>
              <w:t xml:space="preserve"> and are approved by </w:t>
            </w:r>
            <w:r w:rsidRPr="008A5F52">
              <w:rPr>
                <w:rFonts w:ascii="Arial" w:eastAsia="Times New Roman" w:hAnsi="Arial" w:cs="Arial"/>
                <w:bCs/>
                <w:color w:val="000000"/>
                <w:lang w:eastAsia="en-AU"/>
              </w:rPr>
              <w:t xml:space="preserve">the Minister for Local Government </w:t>
            </w:r>
            <w:r w:rsidR="00E0037F">
              <w:rPr>
                <w:rFonts w:ascii="Arial" w:eastAsia="Times New Roman" w:hAnsi="Arial" w:cs="Arial"/>
                <w:bCs/>
                <w:color w:val="000000"/>
                <w:lang w:eastAsia="en-AU"/>
              </w:rPr>
              <w:t>to invest with</w:t>
            </w:r>
            <w:r w:rsidRPr="008A5F52">
              <w:rPr>
                <w:rFonts w:ascii="Arial" w:eastAsia="Times New Roman" w:hAnsi="Arial" w:cs="Arial"/>
                <w:bCs/>
                <w:color w:val="000000"/>
                <w:lang w:eastAsia="en-AU"/>
              </w:rPr>
              <w:t>.</w:t>
            </w:r>
          </w:p>
        </w:tc>
      </w:tr>
      <w:tr w:rsidR="008A5F52" w:rsidRPr="002F51B4" w14:paraId="0EBF0210" w14:textId="77777777" w:rsidTr="00292216">
        <w:tc>
          <w:tcPr>
            <w:tcW w:w="3114" w:type="dxa"/>
          </w:tcPr>
          <w:p w14:paraId="0F9DB32C" w14:textId="16ED2938" w:rsidR="008A5F52" w:rsidRPr="008A5F52" w:rsidRDefault="008A5F52" w:rsidP="00922A97">
            <w:pPr>
              <w:rPr>
                <w:rFonts w:ascii="Arial" w:eastAsia="Times New Roman" w:hAnsi="Arial" w:cs="Arial"/>
                <w:color w:val="000000"/>
                <w:lang w:eastAsia="en-AU"/>
              </w:rPr>
            </w:pPr>
            <w:r w:rsidRPr="008A5F52">
              <w:rPr>
                <w:rFonts w:ascii="Arial" w:eastAsia="Times New Roman" w:hAnsi="Arial" w:cs="Arial"/>
                <w:color w:val="000000"/>
                <w:lang w:eastAsia="en-AU"/>
              </w:rPr>
              <w:t>Long-term and short-term credit ratings</w:t>
            </w:r>
          </w:p>
        </w:tc>
        <w:tc>
          <w:tcPr>
            <w:tcW w:w="6514" w:type="dxa"/>
            <w:gridSpan w:val="2"/>
          </w:tcPr>
          <w:p w14:paraId="2FEF69EA" w14:textId="7DCE3781" w:rsidR="008A5F52" w:rsidRPr="008A5F52" w:rsidRDefault="008A5F52" w:rsidP="00922A97">
            <w:pPr>
              <w:rPr>
                <w:rFonts w:ascii="Arial" w:eastAsia="Times New Roman" w:hAnsi="Arial" w:cs="Arial"/>
                <w:bCs/>
                <w:color w:val="000000"/>
                <w:lang w:eastAsia="en-AU"/>
              </w:rPr>
            </w:pPr>
            <w:r w:rsidRPr="008A5F52">
              <w:rPr>
                <w:rFonts w:ascii="Arial" w:eastAsia="Times New Roman" w:hAnsi="Arial" w:cs="Arial"/>
                <w:bCs/>
                <w:color w:val="000000"/>
                <w:lang w:eastAsia="en-AU"/>
              </w:rPr>
              <w:t>A credit rating can be either short-term or long-term. A short-term rating is assigned to investments with an original maturity of no more than 365 days.  Conversely, a long-term rating is greater than 365 days.</w:t>
            </w:r>
          </w:p>
        </w:tc>
      </w:tr>
      <w:tr w:rsidR="008A5F52" w:rsidRPr="002F51B4" w14:paraId="78B01958" w14:textId="77777777" w:rsidTr="00292216">
        <w:tc>
          <w:tcPr>
            <w:tcW w:w="3114" w:type="dxa"/>
          </w:tcPr>
          <w:p w14:paraId="683A0DE9" w14:textId="7E133D1B" w:rsidR="008A5F52" w:rsidRPr="008A5F52" w:rsidRDefault="008A5F52" w:rsidP="00922A97">
            <w:pPr>
              <w:rPr>
                <w:rFonts w:ascii="Arial" w:eastAsia="Times New Roman" w:hAnsi="Arial" w:cs="Arial"/>
                <w:color w:val="000000"/>
                <w:lang w:eastAsia="en-AU"/>
              </w:rPr>
            </w:pPr>
            <w:r w:rsidRPr="008A5F52">
              <w:rPr>
                <w:rFonts w:ascii="Arial" w:eastAsia="Times New Roman" w:hAnsi="Arial" w:cs="Arial"/>
                <w:color w:val="000000"/>
                <w:lang w:eastAsia="en-AU"/>
              </w:rPr>
              <w:t>Term deposit</w:t>
            </w:r>
          </w:p>
        </w:tc>
        <w:tc>
          <w:tcPr>
            <w:tcW w:w="6514" w:type="dxa"/>
            <w:gridSpan w:val="2"/>
          </w:tcPr>
          <w:p w14:paraId="16348A73" w14:textId="75776B9E" w:rsidR="008A5F52" w:rsidRPr="008A5F52" w:rsidRDefault="008A5F52" w:rsidP="00922A97">
            <w:pPr>
              <w:rPr>
                <w:rFonts w:ascii="Arial" w:eastAsia="Times New Roman" w:hAnsi="Arial" w:cs="Arial"/>
                <w:bCs/>
                <w:color w:val="000000"/>
                <w:lang w:eastAsia="en-AU"/>
              </w:rPr>
            </w:pPr>
            <w:r w:rsidRPr="008A5F52">
              <w:rPr>
                <w:rFonts w:ascii="Arial" w:eastAsia="Times New Roman" w:hAnsi="Arial" w:cs="Arial"/>
                <w:color w:val="000000"/>
                <w:lang w:eastAsia="en-AU"/>
              </w:rPr>
              <w:t>A term deposit is a fixed rate, fixed term investment.  Funds are placed for a predetermined amount of time, to earn a predetermined amount of interest.</w:t>
            </w:r>
          </w:p>
        </w:tc>
      </w:tr>
    </w:tbl>
    <w:p w14:paraId="007CB950" w14:textId="77777777" w:rsidR="009C3FB2" w:rsidRPr="002F51B4" w:rsidRDefault="009C3FB2" w:rsidP="00090F95">
      <w:pPr>
        <w:rPr>
          <w:rFonts w:ascii="Arial" w:hAnsi="Arial" w:cs="Arial"/>
        </w:rPr>
      </w:pPr>
    </w:p>
    <w:p w14:paraId="0C0C29D0" w14:textId="37F5ED43" w:rsidR="00C23937" w:rsidRPr="005A6EEC" w:rsidRDefault="00903622" w:rsidP="005A6EEC">
      <w:pPr>
        <w:pStyle w:val="ListParagraph"/>
        <w:numPr>
          <w:ilvl w:val="0"/>
          <w:numId w:val="2"/>
        </w:numPr>
        <w:rPr>
          <w:rFonts w:ascii="Arial" w:hAnsi="Arial" w:cs="Arial"/>
          <w:b/>
          <w:bCs/>
        </w:rPr>
      </w:pPr>
      <w:r>
        <w:rPr>
          <w:rFonts w:ascii="Arial" w:hAnsi="Arial" w:cs="Arial"/>
          <w:b/>
          <w:bCs/>
        </w:rPr>
        <w:t>Document</w:t>
      </w:r>
      <w:r w:rsidR="00C23937" w:rsidRPr="005A6EEC">
        <w:rPr>
          <w:rFonts w:ascii="Arial" w:hAnsi="Arial" w:cs="Arial"/>
          <w:b/>
          <w:bCs/>
        </w:rPr>
        <w:t xml:space="preserve"> history</w:t>
      </w:r>
    </w:p>
    <w:tbl>
      <w:tblPr>
        <w:tblStyle w:val="TableGrid"/>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04"/>
        <w:gridCol w:w="2958"/>
        <w:gridCol w:w="2958"/>
        <w:gridCol w:w="2214"/>
      </w:tblGrid>
      <w:tr w:rsidR="00903622" w:rsidRPr="002F51B4" w14:paraId="0BE2F00A" w14:textId="77777777" w:rsidTr="00903622">
        <w:trPr>
          <w:trHeight w:val="220"/>
          <w:tblHeader/>
        </w:trPr>
        <w:tc>
          <w:tcPr>
            <w:tcW w:w="1504" w:type="dxa"/>
            <w:shd w:val="clear" w:color="auto" w:fill="196BAC"/>
          </w:tcPr>
          <w:p w14:paraId="0BB58DA9" w14:textId="3E9ADD33" w:rsidR="00903622" w:rsidRPr="002F51B4" w:rsidRDefault="00903622" w:rsidP="00903622">
            <w:pPr>
              <w:pStyle w:val="Tableheading"/>
            </w:pPr>
            <w:r w:rsidRPr="002F51B4">
              <w:t>Version</w:t>
            </w:r>
          </w:p>
        </w:tc>
        <w:tc>
          <w:tcPr>
            <w:tcW w:w="2958" w:type="dxa"/>
            <w:shd w:val="clear" w:color="auto" w:fill="196BAC"/>
          </w:tcPr>
          <w:p w14:paraId="629F30F8" w14:textId="2B15321C" w:rsidR="00903622" w:rsidRDefault="00F41D18" w:rsidP="00903622">
            <w:pPr>
              <w:pStyle w:val="Tableheading"/>
            </w:pPr>
            <w:r>
              <w:t>D</w:t>
            </w:r>
            <w:r w:rsidR="00903622" w:rsidRPr="002F51B4">
              <w:t>ate</w:t>
            </w:r>
            <w:r>
              <w:t xml:space="preserve"> of approval/adoption</w:t>
            </w:r>
          </w:p>
        </w:tc>
        <w:tc>
          <w:tcPr>
            <w:tcW w:w="2958" w:type="dxa"/>
            <w:shd w:val="clear" w:color="auto" w:fill="196BAC"/>
          </w:tcPr>
          <w:p w14:paraId="1026888B" w14:textId="1D9E2DDA" w:rsidR="00903622" w:rsidRDefault="00903622" w:rsidP="00903622">
            <w:pPr>
              <w:pStyle w:val="Tableheading"/>
            </w:pPr>
            <w:r w:rsidRPr="002F51B4">
              <w:t>Changes made</w:t>
            </w:r>
          </w:p>
        </w:tc>
        <w:tc>
          <w:tcPr>
            <w:tcW w:w="2214" w:type="dxa"/>
            <w:shd w:val="clear" w:color="auto" w:fill="196BAC"/>
          </w:tcPr>
          <w:p w14:paraId="581AE8D5" w14:textId="58AA9F79" w:rsidR="00903622" w:rsidRDefault="00903622" w:rsidP="00903622">
            <w:pPr>
              <w:pStyle w:val="Tableheading"/>
            </w:pPr>
            <w:r>
              <w:t>ECM record</w:t>
            </w:r>
            <w:r w:rsidR="00F41D18">
              <w:t xml:space="preserve"> </w:t>
            </w:r>
          </w:p>
        </w:tc>
      </w:tr>
      <w:tr w:rsidR="00903622" w:rsidRPr="002F51B4" w14:paraId="6D28F867" w14:textId="77777777" w:rsidTr="00903622">
        <w:trPr>
          <w:trHeight w:val="556"/>
          <w:hidden/>
        </w:trPr>
        <w:tc>
          <w:tcPr>
            <w:tcW w:w="1504" w:type="dxa"/>
          </w:tcPr>
          <w:p w14:paraId="3C6B4E5E" w14:textId="3DE653A7" w:rsidR="00F41D18" w:rsidRDefault="00B421C5" w:rsidP="00F41D18">
            <w:pPr>
              <w:rPr>
                <w:rFonts w:ascii="Arial" w:hAnsi="Arial" w:cs="Arial"/>
                <w:vanish/>
                <w:highlight w:val="lightGray"/>
              </w:rPr>
            </w:pPr>
            <w:r>
              <w:rPr>
                <w:rFonts w:ascii="Arial" w:hAnsi="Arial" w:cs="Arial"/>
                <w:vanish/>
                <w:highlight w:val="lightGray"/>
              </w:rPr>
              <w:t>2</w:t>
            </w:r>
          </w:p>
          <w:p w14:paraId="1C1F62BD" w14:textId="6A5E3D87" w:rsidR="00903622" w:rsidRPr="002F51B4" w:rsidRDefault="00903622" w:rsidP="00903622">
            <w:pPr>
              <w:spacing w:after="160" w:line="259" w:lineRule="auto"/>
              <w:rPr>
                <w:rFonts w:ascii="Arial" w:hAnsi="Arial" w:cs="Arial"/>
                <w:sz w:val="20"/>
                <w:szCs w:val="20"/>
              </w:rPr>
            </w:pPr>
          </w:p>
        </w:tc>
        <w:tc>
          <w:tcPr>
            <w:tcW w:w="2958" w:type="dxa"/>
          </w:tcPr>
          <w:p w14:paraId="3C1F2580" w14:textId="049FC7E6" w:rsidR="00F41D18" w:rsidRDefault="00190128" w:rsidP="00F41D18">
            <w:pPr>
              <w:rPr>
                <w:rFonts w:ascii="Arial" w:hAnsi="Arial" w:cs="Arial"/>
                <w:vanish/>
                <w:highlight w:val="lightGray"/>
              </w:rPr>
            </w:pPr>
            <w:r>
              <w:rPr>
                <w:rFonts w:ascii="Arial" w:hAnsi="Arial" w:cs="Arial"/>
                <w:vanish/>
                <w:highlight w:val="lightGray"/>
              </w:rPr>
              <w:t>9 July 2024</w:t>
            </w:r>
          </w:p>
          <w:p w14:paraId="0791C676" w14:textId="25DA208A" w:rsidR="00903622" w:rsidRPr="002F51B4" w:rsidRDefault="00903622" w:rsidP="00903622">
            <w:pPr>
              <w:rPr>
                <w:rFonts w:ascii="Arial" w:hAnsi="Arial" w:cs="Arial"/>
                <w:sz w:val="20"/>
                <w:szCs w:val="20"/>
              </w:rPr>
            </w:pPr>
          </w:p>
        </w:tc>
        <w:tc>
          <w:tcPr>
            <w:tcW w:w="2958" w:type="dxa"/>
          </w:tcPr>
          <w:p w14:paraId="03811DFD" w14:textId="3B9B2163" w:rsidR="00F41D18" w:rsidRDefault="00190128" w:rsidP="00F41D18">
            <w:pPr>
              <w:rPr>
                <w:rFonts w:ascii="Arial" w:hAnsi="Arial" w:cs="Arial"/>
                <w:vanish/>
                <w:highlight w:val="lightGray"/>
              </w:rPr>
            </w:pPr>
            <w:r>
              <w:rPr>
                <w:rFonts w:ascii="Arial" w:hAnsi="Arial" w:cs="Arial"/>
                <w:vanish/>
                <w:highlight w:val="lightGray"/>
              </w:rPr>
              <w:t>Definitions added, VFMC information expanded</w:t>
            </w:r>
          </w:p>
          <w:p w14:paraId="7E775F06" w14:textId="11EE7166" w:rsidR="00903622" w:rsidRPr="002F51B4" w:rsidRDefault="00903622" w:rsidP="00903622">
            <w:pPr>
              <w:rPr>
                <w:rFonts w:ascii="Arial" w:hAnsi="Arial" w:cs="Arial"/>
                <w:sz w:val="20"/>
                <w:szCs w:val="20"/>
              </w:rPr>
            </w:pPr>
          </w:p>
        </w:tc>
        <w:tc>
          <w:tcPr>
            <w:tcW w:w="2214" w:type="dxa"/>
          </w:tcPr>
          <w:p w14:paraId="41C5719A" w14:textId="4548EB6B" w:rsidR="00903622" w:rsidRPr="002F51B4" w:rsidRDefault="00903622" w:rsidP="00190128">
            <w:pPr>
              <w:rPr>
                <w:rFonts w:ascii="Arial" w:hAnsi="Arial" w:cs="Arial"/>
                <w:sz w:val="20"/>
                <w:szCs w:val="20"/>
              </w:rPr>
            </w:pPr>
          </w:p>
        </w:tc>
      </w:tr>
    </w:tbl>
    <w:p w14:paraId="5A0EFABA" w14:textId="77777777" w:rsidR="00B81C29" w:rsidRPr="002F51B4" w:rsidRDefault="00B81C29">
      <w:pPr>
        <w:rPr>
          <w:rFonts w:ascii="Arial" w:hAnsi="Arial" w:cs="Arial"/>
          <w:b/>
          <w:bCs/>
        </w:rPr>
      </w:pPr>
    </w:p>
    <w:sectPr w:rsidR="00B81C29" w:rsidRPr="002F51B4" w:rsidSect="00172A0E">
      <w:headerReference w:type="default" r:id="rId10"/>
      <w:footerReference w:type="default" r:id="rId11"/>
      <w:headerReference w:type="first" r:id="rId12"/>
      <w:footerReference w:type="first" r:id="rId13"/>
      <w:pgSz w:w="11906" w:h="16838"/>
      <w:pgMar w:top="255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A3CE" w14:textId="77777777" w:rsidR="00597722" w:rsidRDefault="00597722" w:rsidP="003C2590">
      <w:pPr>
        <w:spacing w:after="0" w:line="240" w:lineRule="auto"/>
      </w:pPr>
      <w:r>
        <w:separator/>
      </w:r>
    </w:p>
  </w:endnote>
  <w:endnote w:type="continuationSeparator" w:id="0">
    <w:p w14:paraId="041D2D21" w14:textId="77777777" w:rsidR="00597722" w:rsidRDefault="00597722" w:rsidP="003C2590">
      <w:pPr>
        <w:spacing w:after="0" w:line="240" w:lineRule="auto"/>
      </w:pPr>
      <w:r>
        <w:continuationSeparator/>
      </w:r>
    </w:p>
  </w:endnote>
  <w:endnote w:type="continuationNotice" w:id="1">
    <w:p w14:paraId="6671D50C" w14:textId="77777777" w:rsidR="00597722" w:rsidRDefault="00597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833871"/>
      <w:docPartObj>
        <w:docPartGallery w:val="Page Numbers (Bottom of Page)"/>
        <w:docPartUnique/>
      </w:docPartObj>
    </w:sdtPr>
    <w:sdtEndPr>
      <w:rPr>
        <w:rFonts w:ascii="Arial" w:hAnsi="Arial" w:cs="Arial"/>
        <w:noProof/>
        <w:sz w:val="20"/>
        <w:szCs w:val="20"/>
      </w:rPr>
    </w:sdtEndPr>
    <w:sdtContent>
      <w:p w14:paraId="6C40328D" w14:textId="10EC763A" w:rsidR="00343A30" w:rsidRPr="00343A30" w:rsidRDefault="00343A30" w:rsidP="00343A30">
        <w:pPr>
          <w:pStyle w:val="Footer"/>
          <w:jc w:val="right"/>
          <w:rPr>
            <w:rFonts w:ascii="Arial" w:hAnsi="Arial" w:cs="Arial"/>
            <w:sz w:val="20"/>
            <w:szCs w:val="20"/>
          </w:rPr>
        </w:pPr>
        <w:r w:rsidRPr="00343A30">
          <w:rPr>
            <w:rFonts w:ascii="Arial" w:hAnsi="Arial" w:cs="Arial"/>
            <w:sz w:val="20"/>
            <w:szCs w:val="20"/>
          </w:rPr>
          <w:fldChar w:fldCharType="begin"/>
        </w:r>
        <w:r w:rsidRPr="00343A30">
          <w:rPr>
            <w:rFonts w:ascii="Arial" w:hAnsi="Arial" w:cs="Arial"/>
            <w:sz w:val="20"/>
            <w:szCs w:val="20"/>
          </w:rPr>
          <w:instrText xml:space="preserve"> PAGE   \* MERGEFORMAT </w:instrText>
        </w:r>
        <w:r w:rsidRPr="00343A30">
          <w:rPr>
            <w:rFonts w:ascii="Arial" w:hAnsi="Arial" w:cs="Arial"/>
            <w:sz w:val="20"/>
            <w:szCs w:val="20"/>
          </w:rPr>
          <w:fldChar w:fldCharType="separate"/>
        </w:r>
        <w:r w:rsidRPr="00343A30">
          <w:rPr>
            <w:rFonts w:ascii="Arial" w:hAnsi="Arial" w:cs="Arial"/>
            <w:noProof/>
            <w:sz w:val="20"/>
            <w:szCs w:val="20"/>
          </w:rPr>
          <w:t>2</w:t>
        </w:r>
        <w:r w:rsidRPr="00343A30">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384641"/>
      <w:docPartObj>
        <w:docPartGallery w:val="Page Numbers (Bottom of Page)"/>
        <w:docPartUnique/>
      </w:docPartObj>
    </w:sdtPr>
    <w:sdtEndPr>
      <w:rPr>
        <w:rFonts w:ascii="Arial" w:hAnsi="Arial" w:cs="Arial"/>
        <w:noProof/>
        <w:sz w:val="20"/>
        <w:szCs w:val="20"/>
      </w:rPr>
    </w:sdtEndPr>
    <w:sdtContent>
      <w:p w14:paraId="342E3ACC" w14:textId="7DD7CF53" w:rsidR="00343A30" w:rsidRPr="00343A30" w:rsidRDefault="00343A30" w:rsidP="00343A30">
        <w:pPr>
          <w:pStyle w:val="Footer"/>
          <w:jc w:val="right"/>
          <w:rPr>
            <w:rFonts w:ascii="Arial" w:hAnsi="Arial" w:cs="Arial"/>
            <w:sz w:val="20"/>
            <w:szCs w:val="20"/>
          </w:rPr>
        </w:pPr>
        <w:r w:rsidRPr="00343A30">
          <w:rPr>
            <w:rFonts w:ascii="Arial" w:hAnsi="Arial" w:cs="Arial"/>
            <w:sz w:val="20"/>
            <w:szCs w:val="20"/>
          </w:rPr>
          <w:fldChar w:fldCharType="begin"/>
        </w:r>
        <w:r w:rsidRPr="00343A30">
          <w:rPr>
            <w:rFonts w:ascii="Arial" w:hAnsi="Arial" w:cs="Arial"/>
            <w:sz w:val="20"/>
            <w:szCs w:val="20"/>
          </w:rPr>
          <w:instrText xml:space="preserve"> PAGE   \* MERGEFORMAT </w:instrText>
        </w:r>
        <w:r w:rsidRPr="00343A30">
          <w:rPr>
            <w:rFonts w:ascii="Arial" w:hAnsi="Arial" w:cs="Arial"/>
            <w:sz w:val="20"/>
            <w:szCs w:val="20"/>
          </w:rPr>
          <w:fldChar w:fldCharType="separate"/>
        </w:r>
        <w:r w:rsidRPr="00343A30">
          <w:rPr>
            <w:rFonts w:ascii="Arial" w:hAnsi="Arial" w:cs="Arial"/>
            <w:noProof/>
            <w:sz w:val="20"/>
            <w:szCs w:val="20"/>
          </w:rPr>
          <w:t>2</w:t>
        </w:r>
        <w:r w:rsidRPr="00343A3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D24C" w14:textId="77777777" w:rsidR="00597722" w:rsidRDefault="00597722" w:rsidP="003C2590">
      <w:pPr>
        <w:spacing w:after="0" w:line="240" w:lineRule="auto"/>
      </w:pPr>
      <w:r>
        <w:separator/>
      </w:r>
    </w:p>
  </w:footnote>
  <w:footnote w:type="continuationSeparator" w:id="0">
    <w:p w14:paraId="5D1B40CC" w14:textId="77777777" w:rsidR="00597722" w:rsidRDefault="00597722" w:rsidP="003C2590">
      <w:pPr>
        <w:spacing w:after="0" w:line="240" w:lineRule="auto"/>
      </w:pPr>
      <w:r>
        <w:continuationSeparator/>
      </w:r>
    </w:p>
  </w:footnote>
  <w:footnote w:type="continuationNotice" w:id="1">
    <w:p w14:paraId="6769B953" w14:textId="77777777" w:rsidR="00597722" w:rsidRDefault="00597722">
      <w:pPr>
        <w:spacing w:after="0" w:line="240" w:lineRule="auto"/>
      </w:pPr>
    </w:p>
  </w:footnote>
  <w:footnote w:id="2">
    <w:p w14:paraId="6C3D15AB" w14:textId="4B78C927" w:rsidR="00DD5D18" w:rsidRPr="0094588D" w:rsidRDefault="00DD5D18">
      <w:pPr>
        <w:pStyle w:val="FootnoteText"/>
        <w:rPr>
          <w:rFonts w:ascii="Arial" w:hAnsi="Arial" w:cs="Arial"/>
          <w:lang w:val="en-US"/>
        </w:rPr>
      </w:pPr>
      <w:r w:rsidRPr="0094588D">
        <w:rPr>
          <w:rStyle w:val="FootnoteReference"/>
          <w:rFonts w:ascii="Arial" w:hAnsi="Arial" w:cs="Arial"/>
        </w:rPr>
        <w:footnoteRef/>
      </w:r>
      <w:r w:rsidRPr="0094588D">
        <w:rPr>
          <w:rFonts w:ascii="Arial" w:hAnsi="Arial" w:cs="Arial"/>
        </w:rPr>
        <w:t xml:space="preserve"> </w:t>
      </w:r>
      <w:r w:rsidRPr="0094588D">
        <w:rPr>
          <w:rFonts w:ascii="Arial" w:hAnsi="Arial" w:cs="Arial"/>
          <w:lang w:val="en-US"/>
        </w:rPr>
        <w:t xml:space="preserve">This includes investments in Victorian </w:t>
      </w:r>
      <w:r w:rsidR="00D02DBA" w:rsidRPr="0094588D">
        <w:rPr>
          <w:rFonts w:ascii="Arial" w:hAnsi="Arial" w:cs="Arial"/>
          <w:lang w:val="en-US"/>
        </w:rPr>
        <w:t xml:space="preserve">Funds Management Corporation Enhanced Income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BCD7" w14:textId="4160E83F" w:rsidR="00343A30" w:rsidRDefault="00343A30" w:rsidP="00343A30">
    <w:pPr>
      <w:tabs>
        <w:tab w:val="left" w:pos="-3060"/>
        <w:tab w:val="left" w:pos="-2340"/>
        <w:tab w:val="center" w:pos="4819"/>
        <w:tab w:val="left" w:pos="6300"/>
      </w:tabs>
      <w:suppressAutoHyphens/>
      <w:spacing w:before="480" w:after="120" w:line="288" w:lineRule="auto"/>
    </w:pPr>
    <w:r w:rsidRPr="003C2590">
      <w:rPr>
        <w:rFonts w:ascii="Arial" w:eastAsia="Times New Roman" w:hAnsi="Arial" w:cs="Arial"/>
        <w:noProof/>
        <w:color w:val="FFFFFF" w:themeColor="background1"/>
        <w:lang w:eastAsia="en-AU"/>
      </w:rPr>
      <w:drawing>
        <wp:anchor distT="0" distB="0" distL="114300" distR="114300" simplePos="0" relativeHeight="251658241" behindDoc="1" locked="1" layoutInCell="1" allowOverlap="1" wp14:anchorId="310D235C" wp14:editId="601255D7">
          <wp:simplePos x="0" y="0"/>
          <wp:positionH relativeFrom="page">
            <wp:align>left</wp:align>
          </wp:positionH>
          <wp:positionV relativeFrom="page">
            <wp:align>top</wp:align>
          </wp:positionV>
          <wp:extent cx="15119985" cy="143637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Pr="003C2590">
      <w:rPr>
        <w:rFonts w:ascii="Arial" w:eastAsia="Times New Roman" w:hAnsi="Arial" w:cs="Arial"/>
        <w:color w:val="FFFFFF" w:themeColor="background1"/>
        <w:lang w:eastAsia="en-AU"/>
      </w:rPr>
      <w:t xml:space="preserve">City of Port Phillip </w:t>
    </w:r>
    <w:r w:rsidR="00A673A2">
      <w:rPr>
        <w:rFonts w:ascii="Arial" w:eastAsia="Times New Roman" w:hAnsi="Arial" w:cs="Arial"/>
        <w:color w:val="FFFFFF" w:themeColor="background1"/>
        <w:lang w:eastAsia="en-AU"/>
      </w:rPr>
      <w:t>Investment &amp; Treasury Management Policy</w:t>
    </w:r>
    <w:r w:rsidRPr="003C2590">
      <w:rPr>
        <w:rFonts w:ascii="Arial" w:eastAsia="Times New Roman" w:hAnsi="Arial" w:cs="Arial"/>
        <w:noProof/>
        <w:color w:val="FFFFFF" w:themeColor="background1"/>
        <w:lang w:eastAsia="en-AU"/>
      </w:rPr>
      <w:drawing>
        <wp:anchor distT="0" distB="0" distL="114300" distR="114300" simplePos="0" relativeHeight="251658240" behindDoc="1" locked="1" layoutInCell="1" allowOverlap="1" wp14:anchorId="2BAE3C60" wp14:editId="3628646E">
          <wp:simplePos x="0" y="0"/>
          <wp:positionH relativeFrom="page">
            <wp:align>left</wp:align>
          </wp:positionH>
          <wp:positionV relativeFrom="page">
            <wp:align>top</wp:align>
          </wp:positionV>
          <wp:extent cx="15119985" cy="14363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E615" w14:textId="29887642" w:rsidR="003C2590" w:rsidRPr="00343A30" w:rsidRDefault="00343A30" w:rsidP="00343A30">
    <w:pPr>
      <w:pStyle w:val="Header"/>
      <w:jc w:val="right"/>
    </w:pPr>
    <w:r>
      <w:rPr>
        <w:noProof/>
        <w:lang w:eastAsia="en-AU"/>
      </w:rPr>
      <w:drawing>
        <wp:inline distT="0" distB="0" distL="0" distR="0" wp14:anchorId="732D93F2" wp14:editId="3691A02E">
          <wp:extent cx="1028700" cy="1028700"/>
          <wp:effectExtent l="0" t="0" r="0" b="0"/>
          <wp:docPr id="4" name="Picture 4" descr="Logo The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LOGO_4C_R.gif"/>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noProof/>
        <w:lang w:eastAsia="en-AU"/>
      </w:rPr>
      <w:drawing>
        <wp:anchor distT="0" distB="0" distL="114300" distR="114300" simplePos="0" relativeHeight="251658242" behindDoc="1" locked="1" layoutInCell="1" allowOverlap="1" wp14:anchorId="1D9FDB7B" wp14:editId="28E9F989">
          <wp:simplePos x="0" y="0"/>
          <wp:positionH relativeFrom="page">
            <wp:align>left</wp:align>
          </wp:positionH>
          <wp:positionV relativeFrom="page">
            <wp:align>top</wp:align>
          </wp:positionV>
          <wp:extent cx="7568565" cy="2884170"/>
          <wp:effectExtent l="0" t="0" r="0" b="0"/>
          <wp:wrapNone/>
          <wp:docPr id="3" name="Picture 3" descr="Decorativ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3">
                    <a:extLst>
                      <a:ext uri="{28A0092B-C50C-407E-A947-70E740481C1C}">
                        <a14:useLocalDpi xmlns:a14="http://schemas.microsoft.com/office/drawing/2010/main" val="0"/>
                      </a:ext>
                    </a:extLst>
                  </a:blip>
                  <a:stretch>
                    <a:fillRect/>
                  </a:stretch>
                </pic:blipFill>
                <pic:spPr>
                  <a:xfrm>
                    <a:off x="0" y="0"/>
                    <a:ext cx="7568565" cy="2884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C23"/>
    <w:multiLevelType w:val="hybridMultilevel"/>
    <w:tmpl w:val="9E6E65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71317C"/>
    <w:multiLevelType w:val="hybridMultilevel"/>
    <w:tmpl w:val="3B266986"/>
    <w:lvl w:ilvl="0" w:tplc="875422C0">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13632"/>
    <w:multiLevelType w:val="hybridMultilevel"/>
    <w:tmpl w:val="A90E1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B66A0"/>
    <w:multiLevelType w:val="hybridMultilevel"/>
    <w:tmpl w:val="080C1718"/>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2201BE"/>
    <w:multiLevelType w:val="hybridMultilevel"/>
    <w:tmpl w:val="AD8ECD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7F506D91"/>
    <w:multiLevelType w:val="multilevel"/>
    <w:tmpl w:val="62107E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344018512">
    <w:abstractNumId w:val="0"/>
  </w:num>
  <w:num w:numId="2" w16cid:durableId="505246402">
    <w:abstractNumId w:val="5"/>
  </w:num>
  <w:num w:numId="3" w16cid:durableId="1434473711">
    <w:abstractNumId w:val="2"/>
  </w:num>
  <w:num w:numId="4" w16cid:durableId="1965499054">
    <w:abstractNumId w:val="3"/>
  </w:num>
  <w:num w:numId="5" w16cid:durableId="796607114">
    <w:abstractNumId w:val="4"/>
  </w:num>
  <w:num w:numId="6" w16cid:durableId="171850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90"/>
    <w:rsid w:val="00024349"/>
    <w:rsid w:val="000307EA"/>
    <w:rsid w:val="00051013"/>
    <w:rsid w:val="00052345"/>
    <w:rsid w:val="000547FD"/>
    <w:rsid w:val="0005781B"/>
    <w:rsid w:val="000657F1"/>
    <w:rsid w:val="00072C49"/>
    <w:rsid w:val="00090F95"/>
    <w:rsid w:val="00092B81"/>
    <w:rsid w:val="000937B0"/>
    <w:rsid w:val="000943C0"/>
    <w:rsid w:val="000B2AD2"/>
    <w:rsid w:val="000D3D72"/>
    <w:rsid w:val="000E57C9"/>
    <w:rsid w:val="000E652F"/>
    <w:rsid w:val="00116CB4"/>
    <w:rsid w:val="001175D0"/>
    <w:rsid w:val="001328DF"/>
    <w:rsid w:val="0014314E"/>
    <w:rsid w:val="0016535D"/>
    <w:rsid w:val="00172A0E"/>
    <w:rsid w:val="00177B0A"/>
    <w:rsid w:val="00183591"/>
    <w:rsid w:val="00183E10"/>
    <w:rsid w:val="00186992"/>
    <w:rsid w:val="00190128"/>
    <w:rsid w:val="001A1383"/>
    <w:rsid w:val="001A3F27"/>
    <w:rsid w:val="001A73A8"/>
    <w:rsid w:val="001A76D2"/>
    <w:rsid w:val="001B2949"/>
    <w:rsid w:val="001B2F76"/>
    <w:rsid w:val="001C2A1A"/>
    <w:rsid w:val="001C326E"/>
    <w:rsid w:val="001C7865"/>
    <w:rsid w:val="001D4CC3"/>
    <w:rsid w:val="001F53BA"/>
    <w:rsid w:val="002212BB"/>
    <w:rsid w:val="00223794"/>
    <w:rsid w:val="00232083"/>
    <w:rsid w:val="002415E3"/>
    <w:rsid w:val="00241FEA"/>
    <w:rsid w:val="00264CED"/>
    <w:rsid w:val="00267B28"/>
    <w:rsid w:val="002712B9"/>
    <w:rsid w:val="00275497"/>
    <w:rsid w:val="002766F2"/>
    <w:rsid w:val="00287964"/>
    <w:rsid w:val="00292216"/>
    <w:rsid w:val="002A50B6"/>
    <w:rsid w:val="002A7662"/>
    <w:rsid w:val="002D03CB"/>
    <w:rsid w:val="002E3046"/>
    <w:rsid w:val="002F51B4"/>
    <w:rsid w:val="00311F35"/>
    <w:rsid w:val="00313F82"/>
    <w:rsid w:val="00315AD5"/>
    <w:rsid w:val="003218E4"/>
    <w:rsid w:val="00321AD8"/>
    <w:rsid w:val="00324EF5"/>
    <w:rsid w:val="0032684D"/>
    <w:rsid w:val="00326EF8"/>
    <w:rsid w:val="003320CF"/>
    <w:rsid w:val="00333A88"/>
    <w:rsid w:val="00341F61"/>
    <w:rsid w:val="00343A30"/>
    <w:rsid w:val="00354490"/>
    <w:rsid w:val="00357DFA"/>
    <w:rsid w:val="003645D3"/>
    <w:rsid w:val="003778D0"/>
    <w:rsid w:val="00384B5A"/>
    <w:rsid w:val="00386A30"/>
    <w:rsid w:val="00386E44"/>
    <w:rsid w:val="003A07E5"/>
    <w:rsid w:val="003A5D76"/>
    <w:rsid w:val="003B79CE"/>
    <w:rsid w:val="003C2590"/>
    <w:rsid w:val="003E1173"/>
    <w:rsid w:val="003F74BB"/>
    <w:rsid w:val="004005A3"/>
    <w:rsid w:val="00403374"/>
    <w:rsid w:val="00404BA0"/>
    <w:rsid w:val="00420D33"/>
    <w:rsid w:val="00421A1A"/>
    <w:rsid w:val="00424D71"/>
    <w:rsid w:val="00442FB2"/>
    <w:rsid w:val="00445C8E"/>
    <w:rsid w:val="00450CF7"/>
    <w:rsid w:val="00466EF1"/>
    <w:rsid w:val="00475CB5"/>
    <w:rsid w:val="0048561A"/>
    <w:rsid w:val="004C2D07"/>
    <w:rsid w:val="004C7A25"/>
    <w:rsid w:val="004E7690"/>
    <w:rsid w:val="00515044"/>
    <w:rsid w:val="0053583C"/>
    <w:rsid w:val="0055046B"/>
    <w:rsid w:val="00557561"/>
    <w:rsid w:val="005576D0"/>
    <w:rsid w:val="00562EBE"/>
    <w:rsid w:val="0059455B"/>
    <w:rsid w:val="00597722"/>
    <w:rsid w:val="005A6EEC"/>
    <w:rsid w:val="005B2D55"/>
    <w:rsid w:val="005C5B3C"/>
    <w:rsid w:val="005C6E43"/>
    <w:rsid w:val="005D6722"/>
    <w:rsid w:val="005E1E6D"/>
    <w:rsid w:val="005F7527"/>
    <w:rsid w:val="00607C0D"/>
    <w:rsid w:val="00615ACC"/>
    <w:rsid w:val="0063577F"/>
    <w:rsid w:val="006423F0"/>
    <w:rsid w:val="00646879"/>
    <w:rsid w:val="006523F0"/>
    <w:rsid w:val="00661151"/>
    <w:rsid w:val="006639FB"/>
    <w:rsid w:val="00667694"/>
    <w:rsid w:val="006704D3"/>
    <w:rsid w:val="006708A1"/>
    <w:rsid w:val="00681AAE"/>
    <w:rsid w:val="00691FA1"/>
    <w:rsid w:val="006A0AA2"/>
    <w:rsid w:val="006A1B7E"/>
    <w:rsid w:val="006A23C2"/>
    <w:rsid w:val="006B7A72"/>
    <w:rsid w:val="006C59A7"/>
    <w:rsid w:val="006C6F2F"/>
    <w:rsid w:val="006D2D7C"/>
    <w:rsid w:val="006D612F"/>
    <w:rsid w:val="006E0256"/>
    <w:rsid w:val="006E61D3"/>
    <w:rsid w:val="006E7352"/>
    <w:rsid w:val="00704828"/>
    <w:rsid w:val="007105F5"/>
    <w:rsid w:val="00713701"/>
    <w:rsid w:val="007415B7"/>
    <w:rsid w:val="00742591"/>
    <w:rsid w:val="00742FF3"/>
    <w:rsid w:val="007473CC"/>
    <w:rsid w:val="0075122E"/>
    <w:rsid w:val="007644C5"/>
    <w:rsid w:val="00786B6D"/>
    <w:rsid w:val="007930F3"/>
    <w:rsid w:val="007965B1"/>
    <w:rsid w:val="0079775A"/>
    <w:rsid w:val="007A04B5"/>
    <w:rsid w:val="007A724A"/>
    <w:rsid w:val="007C41B5"/>
    <w:rsid w:val="007C7DBF"/>
    <w:rsid w:val="007D243D"/>
    <w:rsid w:val="007D3451"/>
    <w:rsid w:val="007D45F8"/>
    <w:rsid w:val="007E2FCF"/>
    <w:rsid w:val="007E3688"/>
    <w:rsid w:val="007F4FFD"/>
    <w:rsid w:val="00801B6C"/>
    <w:rsid w:val="00804F30"/>
    <w:rsid w:val="00810AC3"/>
    <w:rsid w:val="008116B5"/>
    <w:rsid w:val="00811754"/>
    <w:rsid w:val="00812931"/>
    <w:rsid w:val="00814F90"/>
    <w:rsid w:val="00822F61"/>
    <w:rsid w:val="008253FC"/>
    <w:rsid w:val="0083437D"/>
    <w:rsid w:val="00843643"/>
    <w:rsid w:val="008467EC"/>
    <w:rsid w:val="00851AD0"/>
    <w:rsid w:val="00855119"/>
    <w:rsid w:val="00855EA5"/>
    <w:rsid w:val="00865D21"/>
    <w:rsid w:val="00884284"/>
    <w:rsid w:val="008A0A84"/>
    <w:rsid w:val="008A5F52"/>
    <w:rsid w:val="008B19E7"/>
    <w:rsid w:val="008B2476"/>
    <w:rsid w:val="008B3765"/>
    <w:rsid w:val="008B6E2B"/>
    <w:rsid w:val="008C1E04"/>
    <w:rsid w:val="008D5186"/>
    <w:rsid w:val="008E38FB"/>
    <w:rsid w:val="008E504F"/>
    <w:rsid w:val="008E7841"/>
    <w:rsid w:val="00903622"/>
    <w:rsid w:val="00903CB9"/>
    <w:rsid w:val="0090508F"/>
    <w:rsid w:val="00905803"/>
    <w:rsid w:val="00911465"/>
    <w:rsid w:val="0091292C"/>
    <w:rsid w:val="00922A97"/>
    <w:rsid w:val="00923B8D"/>
    <w:rsid w:val="00930065"/>
    <w:rsid w:val="009319DA"/>
    <w:rsid w:val="00932E2A"/>
    <w:rsid w:val="009425F4"/>
    <w:rsid w:val="00944078"/>
    <w:rsid w:val="0094588D"/>
    <w:rsid w:val="00945EBB"/>
    <w:rsid w:val="0095211B"/>
    <w:rsid w:val="00953C14"/>
    <w:rsid w:val="00962EE2"/>
    <w:rsid w:val="00964F68"/>
    <w:rsid w:val="009747CB"/>
    <w:rsid w:val="0099334E"/>
    <w:rsid w:val="009A53ED"/>
    <w:rsid w:val="009B5A5D"/>
    <w:rsid w:val="009B6F82"/>
    <w:rsid w:val="009B7EE7"/>
    <w:rsid w:val="009C005E"/>
    <w:rsid w:val="009C3FB2"/>
    <w:rsid w:val="009D11A2"/>
    <w:rsid w:val="009D3633"/>
    <w:rsid w:val="009D5FDA"/>
    <w:rsid w:val="009E4CDB"/>
    <w:rsid w:val="00A07AF7"/>
    <w:rsid w:val="00A10306"/>
    <w:rsid w:val="00A15C2E"/>
    <w:rsid w:val="00A1791B"/>
    <w:rsid w:val="00A22965"/>
    <w:rsid w:val="00A41988"/>
    <w:rsid w:val="00A41E08"/>
    <w:rsid w:val="00A47167"/>
    <w:rsid w:val="00A6646C"/>
    <w:rsid w:val="00A673A2"/>
    <w:rsid w:val="00A70472"/>
    <w:rsid w:val="00A7108C"/>
    <w:rsid w:val="00A734F8"/>
    <w:rsid w:val="00A87E9E"/>
    <w:rsid w:val="00AC6E27"/>
    <w:rsid w:val="00AE457C"/>
    <w:rsid w:val="00AE5C61"/>
    <w:rsid w:val="00B060FA"/>
    <w:rsid w:val="00B20798"/>
    <w:rsid w:val="00B20C1F"/>
    <w:rsid w:val="00B21384"/>
    <w:rsid w:val="00B21545"/>
    <w:rsid w:val="00B27016"/>
    <w:rsid w:val="00B30884"/>
    <w:rsid w:val="00B40D27"/>
    <w:rsid w:val="00B421C5"/>
    <w:rsid w:val="00B44AD1"/>
    <w:rsid w:val="00B45E2B"/>
    <w:rsid w:val="00B57339"/>
    <w:rsid w:val="00B577D8"/>
    <w:rsid w:val="00B57CFC"/>
    <w:rsid w:val="00B6439E"/>
    <w:rsid w:val="00B66709"/>
    <w:rsid w:val="00B72706"/>
    <w:rsid w:val="00B745FD"/>
    <w:rsid w:val="00B81C29"/>
    <w:rsid w:val="00B8656A"/>
    <w:rsid w:val="00B87C34"/>
    <w:rsid w:val="00BB34BB"/>
    <w:rsid w:val="00BB56E6"/>
    <w:rsid w:val="00BB5DA8"/>
    <w:rsid w:val="00BB6A54"/>
    <w:rsid w:val="00BD0837"/>
    <w:rsid w:val="00BD2010"/>
    <w:rsid w:val="00BD6070"/>
    <w:rsid w:val="00BD7887"/>
    <w:rsid w:val="00BE0B66"/>
    <w:rsid w:val="00BF0EEF"/>
    <w:rsid w:val="00BF2C41"/>
    <w:rsid w:val="00C11904"/>
    <w:rsid w:val="00C11EAA"/>
    <w:rsid w:val="00C13796"/>
    <w:rsid w:val="00C15C0A"/>
    <w:rsid w:val="00C23937"/>
    <w:rsid w:val="00C345F5"/>
    <w:rsid w:val="00C61768"/>
    <w:rsid w:val="00C71B5E"/>
    <w:rsid w:val="00C71D01"/>
    <w:rsid w:val="00C753E8"/>
    <w:rsid w:val="00C87375"/>
    <w:rsid w:val="00CA3A67"/>
    <w:rsid w:val="00CB62AF"/>
    <w:rsid w:val="00CD4929"/>
    <w:rsid w:val="00CE6338"/>
    <w:rsid w:val="00CF048A"/>
    <w:rsid w:val="00CF0C62"/>
    <w:rsid w:val="00D02DBA"/>
    <w:rsid w:val="00D0551D"/>
    <w:rsid w:val="00D05EEA"/>
    <w:rsid w:val="00D118DC"/>
    <w:rsid w:val="00D12183"/>
    <w:rsid w:val="00D1513D"/>
    <w:rsid w:val="00D20BE3"/>
    <w:rsid w:val="00D36AC7"/>
    <w:rsid w:val="00D52C08"/>
    <w:rsid w:val="00D55592"/>
    <w:rsid w:val="00D5728F"/>
    <w:rsid w:val="00D618FD"/>
    <w:rsid w:val="00D70E6E"/>
    <w:rsid w:val="00D723D4"/>
    <w:rsid w:val="00D87B7E"/>
    <w:rsid w:val="00D95015"/>
    <w:rsid w:val="00DA27EA"/>
    <w:rsid w:val="00DD5D18"/>
    <w:rsid w:val="00DE64EC"/>
    <w:rsid w:val="00DF47E7"/>
    <w:rsid w:val="00E0037F"/>
    <w:rsid w:val="00E10173"/>
    <w:rsid w:val="00E16C00"/>
    <w:rsid w:val="00E33CCC"/>
    <w:rsid w:val="00E4167B"/>
    <w:rsid w:val="00E46D5D"/>
    <w:rsid w:val="00E628D9"/>
    <w:rsid w:val="00E70930"/>
    <w:rsid w:val="00E71994"/>
    <w:rsid w:val="00E77384"/>
    <w:rsid w:val="00E77422"/>
    <w:rsid w:val="00E83966"/>
    <w:rsid w:val="00E90687"/>
    <w:rsid w:val="00E96A5B"/>
    <w:rsid w:val="00EA2409"/>
    <w:rsid w:val="00EA3855"/>
    <w:rsid w:val="00EA62D8"/>
    <w:rsid w:val="00EB00E1"/>
    <w:rsid w:val="00EB3C80"/>
    <w:rsid w:val="00EC2EF6"/>
    <w:rsid w:val="00EC766F"/>
    <w:rsid w:val="00ED41D5"/>
    <w:rsid w:val="00EE53FA"/>
    <w:rsid w:val="00EE56D3"/>
    <w:rsid w:val="00EE708D"/>
    <w:rsid w:val="00EF6217"/>
    <w:rsid w:val="00F07CA6"/>
    <w:rsid w:val="00F268F3"/>
    <w:rsid w:val="00F41D18"/>
    <w:rsid w:val="00F56CD1"/>
    <w:rsid w:val="00F73AA2"/>
    <w:rsid w:val="00F765EE"/>
    <w:rsid w:val="00F914C2"/>
    <w:rsid w:val="00F93F60"/>
    <w:rsid w:val="00F9600E"/>
    <w:rsid w:val="00FA1663"/>
    <w:rsid w:val="00FA3F6B"/>
    <w:rsid w:val="00FB34A2"/>
    <w:rsid w:val="00FB6F6C"/>
    <w:rsid w:val="00FD3928"/>
    <w:rsid w:val="00FD3F44"/>
    <w:rsid w:val="00FD4014"/>
    <w:rsid w:val="00FE05A1"/>
    <w:rsid w:val="00FE7432"/>
    <w:rsid w:val="00FF23F4"/>
    <w:rsid w:val="00FF2F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5F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3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05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qFormat/>
    <w:rsid w:val="00CE6338"/>
    <w:pPr>
      <w:tabs>
        <w:tab w:val="left" w:pos="-3060"/>
        <w:tab w:val="left" w:pos="-2340"/>
        <w:tab w:val="left" w:pos="1418"/>
        <w:tab w:val="left" w:pos="6300"/>
      </w:tabs>
      <w:suppressAutoHyphens/>
      <w:spacing w:before="120" w:after="120" w:line="288" w:lineRule="auto"/>
      <w:ind w:left="360"/>
      <w:jc w:val="both"/>
      <w:outlineLvl w:val="2"/>
    </w:pPr>
    <w:rPr>
      <w:rFonts w:ascii="Arial" w:eastAsia="Times New Roman" w:hAnsi="Arial" w:cs="Arial"/>
      <w:b/>
      <w:color w:val="525252" w:themeColor="accent3" w:themeShade="80"/>
      <w:kern w:val="32"/>
      <w:sz w:val="36"/>
      <w:szCs w:val="44"/>
      <w:lang w:val="en-US" w:eastAsia="en-AU"/>
    </w:rPr>
  </w:style>
  <w:style w:type="paragraph" w:styleId="Heading4">
    <w:name w:val="heading 4"/>
    <w:basedOn w:val="Normal"/>
    <w:next w:val="Normal"/>
    <w:link w:val="Heading4Char"/>
    <w:qFormat/>
    <w:rsid w:val="00A673A2"/>
    <w:pPr>
      <w:tabs>
        <w:tab w:val="left" w:pos="-3060"/>
        <w:tab w:val="left" w:pos="-2340"/>
        <w:tab w:val="left" w:pos="6300"/>
      </w:tabs>
      <w:suppressAutoHyphens/>
      <w:spacing w:before="120" w:after="60" w:line="288" w:lineRule="auto"/>
      <w:outlineLvl w:val="3"/>
    </w:pPr>
    <w:rPr>
      <w:rFonts w:ascii="Arial" w:eastAsia="Times New Roman" w:hAnsi="Arial" w:cs="Arial"/>
      <w:b/>
      <w:color w:val="000000" w:themeColor="text1"/>
      <w:sz w:val="28"/>
      <w:lang w:eastAsia="en-AU"/>
    </w:rPr>
  </w:style>
  <w:style w:type="paragraph" w:styleId="Heading5">
    <w:name w:val="heading 5"/>
    <w:basedOn w:val="Normal"/>
    <w:next w:val="Normal"/>
    <w:link w:val="Heading5Char"/>
    <w:uiPriority w:val="9"/>
    <w:unhideWhenUsed/>
    <w:qFormat/>
    <w:rsid w:val="00CE633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E633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E633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90"/>
  </w:style>
  <w:style w:type="paragraph" w:styleId="Footer">
    <w:name w:val="footer"/>
    <w:basedOn w:val="Normal"/>
    <w:link w:val="FooterChar"/>
    <w:uiPriority w:val="99"/>
    <w:unhideWhenUsed/>
    <w:rsid w:val="003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90"/>
  </w:style>
  <w:style w:type="paragraph" w:customStyle="1" w:styleId="Meetingminutesheader">
    <w:name w:val="Meeting minutes header"/>
    <w:basedOn w:val="Normal"/>
    <w:link w:val="MeetingminutesheaderChar"/>
    <w:qFormat/>
    <w:rsid w:val="003C2590"/>
    <w:pPr>
      <w:outlineLvl w:val="0"/>
    </w:pPr>
    <w:rPr>
      <w:rFonts w:ascii="Arial" w:hAnsi="Arial" w:cs="Arial"/>
      <w:color w:val="196BAC"/>
      <w:sz w:val="40"/>
      <w:szCs w:val="40"/>
    </w:rPr>
  </w:style>
  <w:style w:type="character" w:customStyle="1" w:styleId="MeetingminutesheaderChar">
    <w:name w:val="Meeting minutes header Char"/>
    <w:basedOn w:val="DefaultParagraphFont"/>
    <w:link w:val="Meetingminutesheader"/>
    <w:rsid w:val="003C2590"/>
    <w:rPr>
      <w:rFonts w:ascii="Arial" w:hAnsi="Arial" w:cs="Arial"/>
      <w:color w:val="196BAC"/>
      <w:sz w:val="40"/>
      <w:szCs w:val="40"/>
    </w:rPr>
  </w:style>
  <w:style w:type="table" w:styleId="TableGrid">
    <w:name w:val="Table Grid"/>
    <w:basedOn w:val="TableNormal"/>
    <w:uiPriority w:val="59"/>
    <w:rsid w:val="003C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link w:val="Heading21Char"/>
    <w:qFormat/>
    <w:rsid w:val="003C2590"/>
    <w:rPr>
      <w:rFonts w:ascii="Arial" w:hAnsi="Arial" w:cs="Arial"/>
      <w:b/>
      <w:szCs w:val="20"/>
    </w:rPr>
  </w:style>
  <w:style w:type="character" w:customStyle="1" w:styleId="Heading21Char">
    <w:name w:val="Heading 2.1 Char"/>
    <w:basedOn w:val="DefaultParagraphFont"/>
    <w:link w:val="Heading21"/>
    <w:rsid w:val="003C2590"/>
    <w:rPr>
      <w:rFonts w:ascii="Arial" w:hAnsi="Arial" w:cs="Arial"/>
      <w:b/>
      <w:szCs w:val="20"/>
    </w:rPr>
  </w:style>
  <w:style w:type="character" w:styleId="Hyperlink">
    <w:name w:val="Hyperlink"/>
    <w:basedOn w:val="DefaultParagraphFont"/>
    <w:uiPriority w:val="99"/>
    <w:unhideWhenUsed/>
    <w:rsid w:val="004005A3"/>
    <w:rPr>
      <w:color w:val="0563C1" w:themeColor="hyperlink"/>
      <w:u w:val="single"/>
    </w:rPr>
  </w:style>
  <w:style w:type="character" w:styleId="CommentReference">
    <w:name w:val="annotation reference"/>
    <w:basedOn w:val="DefaultParagraphFont"/>
    <w:uiPriority w:val="99"/>
    <w:semiHidden/>
    <w:unhideWhenUsed/>
    <w:rsid w:val="00667694"/>
    <w:rPr>
      <w:sz w:val="16"/>
      <w:szCs w:val="16"/>
    </w:rPr>
  </w:style>
  <w:style w:type="paragraph" w:styleId="CommentText">
    <w:name w:val="annotation text"/>
    <w:basedOn w:val="Normal"/>
    <w:link w:val="CommentTextChar"/>
    <w:uiPriority w:val="99"/>
    <w:unhideWhenUsed/>
    <w:rsid w:val="00667694"/>
    <w:pPr>
      <w:spacing w:line="240" w:lineRule="auto"/>
    </w:pPr>
    <w:rPr>
      <w:sz w:val="20"/>
      <w:szCs w:val="20"/>
    </w:rPr>
  </w:style>
  <w:style w:type="character" w:customStyle="1" w:styleId="CommentTextChar">
    <w:name w:val="Comment Text Char"/>
    <w:basedOn w:val="DefaultParagraphFont"/>
    <w:link w:val="CommentText"/>
    <w:uiPriority w:val="99"/>
    <w:rsid w:val="00667694"/>
    <w:rPr>
      <w:sz w:val="20"/>
      <w:szCs w:val="20"/>
    </w:rPr>
  </w:style>
  <w:style w:type="paragraph" w:styleId="CommentSubject">
    <w:name w:val="annotation subject"/>
    <w:basedOn w:val="CommentText"/>
    <w:next w:val="CommentText"/>
    <w:link w:val="CommentSubjectChar"/>
    <w:uiPriority w:val="99"/>
    <w:semiHidden/>
    <w:unhideWhenUsed/>
    <w:rsid w:val="00667694"/>
    <w:rPr>
      <w:b/>
      <w:bCs/>
    </w:rPr>
  </w:style>
  <w:style w:type="character" w:customStyle="1" w:styleId="CommentSubjectChar">
    <w:name w:val="Comment Subject Char"/>
    <w:basedOn w:val="CommentTextChar"/>
    <w:link w:val="CommentSubject"/>
    <w:uiPriority w:val="99"/>
    <w:semiHidden/>
    <w:rsid w:val="00667694"/>
    <w:rPr>
      <w:b/>
      <w:bCs/>
      <w:sz w:val="20"/>
      <w:szCs w:val="20"/>
    </w:rPr>
  </w:style>
  <w:style w:type="paragraph" w:customStyle="1" w:styleId="Tableheading">
    <w:name w:val="Table heading"/>
    <w:basedOn w:val="Normal"/>
    <w:qFormat/>
    <w:rsid w:val="001A3F27"/>
    <w:rPr>
      <w:rFonts w:ascii="Arial" w:hAnsi="Arial" w:cs="Arial"/>
      <w:b/>
      <w:color w:val="FFFFFF" w:themeColor="background1"/>
      <w:szCs w:val="20"/>
    </w:rPr>
  </w:style>
  <w:style w:type="paragraph" w:styleId="ListParagraph">
    <w:name w:val="List Paragraph"/>
    <w:basedOn w:val="Normal"/>
    <w:link w:val="ListParagraphChar"/>
    <w:uiPriority w:val="34"/>
    <w:qFormat/>
    <w:rsid w:val="005A6EEC"/>
    <w:pPr>
      <w:ind w:left="720"/>
      <w:contextualSpacing/>
    </w:pPr>
  </w:style>
  <w:style w:type="paragraph" w:styleId="Revision">
    <w:name w:val="Revision"/>
    <w:hidden/>
    <w:uiPriority w:val="99"/>
    <w:semiHidden/>
    <w:rsid w:val="00923B8D"/>
    <w:pPr>
      <w:spacing w:after="0" w:line="240" w:lineRule="auto"/>
    </w:pPr>
  </w:style>
  <w:style w:type="character" w:customStyle="1" w:styleId="ListParagraphChar">
    <w:name w:val="List Paragraph Char"/>
    <w:basedOn w:val="DefaultParagraphFont"/>
    <w:link w:val="ListParagraph"/>
    <w:uiPriority w:val="34"/>
    <w:rsid w:val="00A673A2"/>
  </w:style>
  <w:style w:type="character" w:customStyle="1" w:styleId="Heading3Char">
    <w:name w:val="Heading 3 Char"/>
    <w:basedOn w:val="DefaultParagraphFont"/>
    <w:link w:val="Heading3"/>
    <w:rsid w:val="00CE6338"/>
    <w:rPr>
      <w:rFonts w:ascii="Arial" w:eastAsia="Times New Roman" w:hAnsi="Arial" w:cs="Arial"/>
      <w:b/>
      <w:color w:val="525252" w:themeColor="accent3" w:themeShade="80"/>
      <w:kern w:val="32"/>
      <w:sz w:val="36"/>
      <w:szCs w:val="44"/>
      <w:lang w:val="en-US" w:eastAsia="en-AU"/>
    </w:rPr>
  </w:style>
  <w:style w:type="character" w:customStyle="1" w:styleId="Heading4Char">
    <w:name w:val="Heading 4 Char"/>
    <w:basedOn w:val="DefaultParagraphFont"/>
    <w:link w:val="Heading4"/>
    <w:rsid w:val="00A673A2"/>
    <w:rPr>
      <w:rFonts w:ascii="Arial" w:eastAsia="Times New Roman" w:hAnsi="Arial" w:cs="Arial"/>
      <w:b/>
      <w:color w:val="000000" w:themeColor="text1"/>
      <w:sz w:val="28"/>
      <w:lang w:eastAsia="en-AU"/>
    </w:rPr>
  </w:style>
  <w:style w:type="paragraph" w:customStyle="1" w:styleId="NormalBullets">
    <w:name w:val="Normal Bullets"/>
    <w:basedOn w:val="Normal"/>
    <w:link w:val="NormalBulletsChar"/>
    <w:qFormat/>
    <w:rsid w:val="00A673A2"/>
    <w:pPr>
      <w:numPr>
        <w:numId w:val="4"/>
      </w:numPr>
      <w:tabs>
        <w:tab w:val="right" w:pos="8931"/>
      </w:tabs>
      <w:spacing w:after="120" w:line="288" w:lineRule="auto"/>
    </w:pPr>
    <w:rPr>
      <w:rFonts w:ascii="Arial" w:eastAsia="Calibri" w:hAnsi="Arial" w:cs="Arial"/>
    </w:rPr>
  </w:style>
  <w:style w:type="character" w:customStyle="1" w:styleId="NormalBulletsChar">
    <w:name w:val="Normal Bullets Char"/>
    <w:basedOn w:val="DefaultParagraphFont"/>
    <w:link w:val="NormalBullets"/>
    <w:rsid w:val="00A673A2"/>
    <w:rPr>
      <w:rFonts w:ascii="Arial" w:eastAsia="Calibri" w:hAnsi="Arial" w:cs="Arial"/>
    </w:rPr>
  </w:style>
  <w:style w:type="character" w:customStyle="1" w:styleId="Heading2Char">
    <w:name w:val="Heading 2 Char"/>
    <w:basedOn w:val="DefaultParagraphFont"/>
    <w:link w:val="Heading2"/>
    <w:uiPriority w:val="9"/>
    <w:rsid w:val="00FE05A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E633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E6338"/>
    <w:pPr>
      <w:spacing w:after="0" w:line="240" w:lineRule="auto"/>
    </w:pPr>
  </w:style>
  <w:style w:type="character" w:customStyle="1" w:styleId="Heading5Char">
    <w:name w:val="Heading 5 Char"/>
    <w:basedOn w:val="DefaultParagraphFont"/>
    <w:link w:val="Heading5"/>
    <w:uiPriority w:val="9"/>
    <w:rsid w:val="00CE63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E6338"/>
    <w:rPr>
      <w:rFonts w:asciiTheme="majorHAnsi" w:eastAsiaTheme="majorEastAsia" w:hAnsiTheme="majorHAnsi" w:cstheme="majorBidi"/>
      <w:color w:val="1F3763" w:themeColor="accent1" w:themeShade="7F"/>
    </w:rPr>
  </w:style>
  <w:style w:type="paragraph" w:styleId="IntenseQuote">
    <w:name w:val="Intense Quote"/>
    <w:basedOn w:val="Normal"/>
    <w:next w:val="Normal"/>
    <w:link w:val="IntenseQuoteChar"/>
    <w:uiPriority w:val="30"/>
    <w:qFormat/>
    <w:rsid w:val="00CE63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E6338"/>
    <w:rPr>
      <w:i/>
      <w:iCs/>
      <w:color w:val="4472C4" w:themeColor="accent1"/>
    </w:rPr>
  </w:style>
  <w:style w:type="character" w:styleId="SubtleReference">
    <w:name w:val="Subtle Reference"/>
    <w:basedOn w:val="DefaultParagraphFont"/>
    <w:uiPriority w:val="31"/>
    <w:qFormat/>
    <w:rsid w:val="00CE6338"/>
    <w:rPr>
      <w:smallCaps/>
      <w:color w:val="5A5A5A" w:themeColor="text1" w:themeTint="A5"/>
    </w:rPr>
  </w:style>
  <w:style w:type="character" w:styleId="IntenseReference">
    <w:name w:val="Intense Reference"/>
    <w:basedOn w:val="DefaultParagraphFont"/>
    <w:uiPriority w:val="32"/>
    <w:qFormat/>
    <w:rsid w:val="00CE6338"/>
    <w:rPr>
      <w:b/>
      <w:bCs/>
      <w:smallCaps/>
      <w:color w:val="4472C4" w:themeColor="accent1"/>
      <w:spacing w:val="5"/>
    </w:rPr>
  </w:style>
  <w:style w:type="character" w:styleId="BookTitle">
    <w:name w:val="Book Title"/>
    <w:basedOn w:val="DefaultParagraphFont"/>
    <w:uiPriority w:val="33"/>
    <w:qFormat/>
    <w:rsid w:val="00CE6338"/>
    <w:rPr>
      <w:b/>
      <w:bCs/>
      <w:i/>
      <w:iCs/>
      <w:spacing w:val="5"/>
    </w:rPr>
  </w:style>
  <w:style w:type="paragraph" w:styleId="Quote">
    <w:name w:val="Quote"/>
    <w:basedOn w:val="Normal"/>
    <w:next w:val="Normal"/>
    <w:link w:val="QuoteChar"/>
    <w:uiPriority w:val="29"/>
    <w:qFormat/>
    <w:rsid w:val="00CE63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6338"/>
    <w:rPr>
      <w:i/>
      <w:iCs/>
      <w:color w:val="404040" w:themeColor="text1" w:themeTint="BF"/>
    </w:rPr>
  </w:style>
  <w:style w:type="character" w:styleId="Strong">
    <w:name w:val="Strong"/>
    <w:basedOn w:val="DefaultParagraphFont"/>
    <w:uiPriority w:val="22"/>
    <w:qFormat/>
    <w:rsid w:val="00CE6338"/>
    <w:rPr>
      <w:b/>
      <w:bCs/>
    </w:rPr>
  </w:style>
  <w:style w:type="character" w:styleId="IntenseEmphasis">
    <w:name w:val="Intense Emphasis"/>
    <w:basedOn w:val="DefaultParagraphFont"/>
    <w:uiPriority w:val="21"/>
    <w:qFormat/>
    <w:rsid w:val="00CE6338"/>
    <w:rPr>
      <w:i/>
      <w:iCs/>
      <w:color w:val="4472C4" w:themeColor="accent1"/>
    </w:rPr>
  </w:style>
  <w:style w:type="character" w:styleId="Emphasis">
    <w:name w:val="Emphasis"/>
    <w:basedOn w:val="DefaultParagraphFont"/>
    <w:uiPriority w:val="20"/>
    <w:qFormat/>
    <w:rsid w:val="00CE6338"/>
    <w:rPr>
      <w:i/>
      <w:iCs/>
    </w:rPr>
  </w:style>
  <w:style w:type="character" w:styleId="SubtleEmphasis">
    <w:name w:val="Subtle Emphasis"/>
    <w:basedOn w:val="DefaultParagraphFont"/>
    <w:uiPriority w:val="19"/>
    <w:qFormat/>
    <w:rsid w:val="00CE6338"/>
    <w:rPr>
      <w:i/>
      <w:iCs/>
      <w:color w:val="404040" w:themeColor="text1" w:themeTint="BF"/>
    </w:rPr>
  </w:style>
  <w:style w:type="paragraph" w:styleId="Subtitle">
    <w:name w:val="Subtitle"/>
    <w:basedOn w:val="Normal"/>
    <w:next w:val="Normal"/>
    <w:link w:val="SubtitleChar"/>
    <w:uiPriority w:val="11"/>
    <w:qFormat/>
    <w:rsid w:val="00CE6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6338"/>
    <w:rPr>
      <w:rFonts w:eastAsiaTheme="minorEastAsia"/>
      <w:color w:val="5A5A5A" w:themeColor="text1" w:themeTint="A5"/>
      <w:spacing w:val="15"/>
    </w:rPr>
  </w:style>
  <w:style w:type="paragraph" w:styleId="Title">
    <w:name w:val="Title"/>
    <w:basedOn w:val="Normal"/>
    <w:next w:val="Normal"/>
    <w:link w:val="TitleChar"/>
    <w:uiPriority w:val="10"/>
    <w:qFormat/>
    <w:rsid w:val="00CE63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338"/>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sid w:val="00CE6338"/>
    <w:rPr>
      <w:rFonts w:asciiTheme="majorHAnsi" w:eastAsiaTheme="majorEastAsia" w:hAnsiTheme="majorHAnsi" w:cstheme="majorBidi"/>
      <w:i/>
      <w:iCs/>
      <w:color w:val="1F3763" w:themeColor="accent1" w:themeShade="7F"/>
    </w:rPr>
  </w:style>
  <w:style w:type="paragraph" w:styleId="FootnoteText">
    <w:name w:val="footnote text"/>
    <w:basedOn w:val="Normal"/>
    <w:link w:val="FootnoteTextChar"/>
    <w:uiPriority w:val="99"/>
    <w:semiHidden/>
    <w:unhideWhenUsed/>
    <w:rsid w:val="00DD5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D18"/>
    <w:rPr>
      <w:sz w:val="20"/>
      <w:szCs w:val="20"/>
    </w:rPr>
  </w:style>
  <w:style w:type="character" w:styleId="FootnoteReference">
    <w:name w:val="footnote reference"/>
    <w:basedOn w:val="DefaultParagraphFont"/>
    <w:uiPriority w:val="99"/>
    <w:semiHidden/>
    <w:unhideWhenUsed/>
    <w:rsid w:val="00DD5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portphillip.vic.gov.au/media_releases.htm"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abe43e-ac0f-4c72-96ee-c07d74419750">
      <Terms xmlns="http://schemas.microsoft.com/office/infopath/2007/PartnerControls"/>
    </lcf76f155ced4ddcb4097134ff3c332f>
    <TaxCatchAll xmlns="2ac6a802-3a8a-4961-9fa5-32617c106b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CD98841F4A7D4B90420CF8C63C5AC3" ma:contentTypeVersion="15" ma:contentTypeDescription="Create a new document." ma:contentTypeScope="" ma:versionID="ea5c897438e9134dd5ba4319b262cd6d">
  <xsd:schema xmlns:xsd="http://www.w3.org/2001/XMLSchema" xmlns:xs="http://www.w3.org/2001/XMLSchema" xmlns:p="http://schemas.microsoft.com/office/2006/metadata/properties" xmlns:ns2="9cabe43e-ac0f-4c72-96ee-c07d74419750" xmlns:ns3="2ac6a802-3a8a-4961-9fa5-32617c106be2" targetNamespace="http://schemas.microsoft.com/office/2006/metadata/properties" ma:root="true" ma:fieldsID="aa3b48b93610a067ea109a373e1f728f" ns2:_="" ns3:_="">
    <xsd:import namespace="9cabe43e-ac0f-4c72-96ee-c07d74419750"/>
    <xsd:import namespace="2ac6a802-3a8a-4961-9fa5-32617c106b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e43e-ac0f-4c72-96ee-c07d7441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6a802-3a8a-4961-9fa5-32617c106b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6a546b-98dc-4583-be28-22c1ec747465}" ma:internalName="TaxCatchAll" ma:showField="CatchAllData" ma:web="2ac6a802-3a8a-4961-9fa5-32617c106b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27A90-BC67-4DBB-94EC-48DBD4B5037F}">
  <ds:schemaRefs>
    <ds:schemaRef ds:uri="http://schemas.microsoft.com/sharepoint/v3/contenttype/forms"/>
  </ds:schemaRefs>
</ds:datastoreItem>
</file>

<file path=customXml/itemProps2.xml><?xml version="1.0" encoding="utf-8"?>
<ds:datastoreItem xmlns:ds="http://schemas.openxmlformats.org/officeDocument/2006/customXml" ds:itemID="{EF0412CB-41F2-45FB-B732-CDA959580C8E}">
  <ds:schemaRefs>
    <ds:schemaRef ds:uri="http://purl.org/dc/terms/"/>
    <ds:schemaRef ds:uri="http://schemas.microsoft.com/office/2006/documentManagement/types"/>
    <ds:schemaRef ds:uri="http://purl.org/dc/dcmitype/"/>
    <ds:schemaRef ds:uri="9cabe43e-ac0f-4c72-96ee-c07d7441975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ac6a802-3a8a-4961-9fa5-32617c106be2"/>
    <ds:schemaRef ds:uri="http://www.w3.org/XML/1998/namespace"/>
  </ds:schemaRefs>
</ds:datastoreItem>
</file>

<file path=customXml/itemProps3.xml><?xml version="1.0" encoding="utf-8"?>
<ds:datastoreItem xmlns:ds="http://schemas.openxmlformats.org/officeDocument/2006/customXml" ds:itemID="{FBBFC1B3-279F-4C98-BDCC-EA2262554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be43e-ac0f-4c72-96ee-c07d74419750"/>
    <ds:schemaRef ds:uri="2ac6a802-3a8a-4961-9fa5-32617c106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2798</Words>
  <Characters>15755</Characters>
  <Application>Microsoft Office Word</Application>
  <DocSecurity>0</DocSecurity>
  <Lines>403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2025-02-19T00:53:00Z</dcterms:created>
  <dcterms:modified xsi:type="dcterms:W3CDTF">2025-02-19T00:53:00Z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0x010100A3CD98841F4A7D4B90420CF8C63C5AC3</vt:lpwstr>
  </property>
</Properties>
</file>