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852246" w:rsidRPr="00AA4FF8" w:rsidRDefault="00852246" w:rsidP="00852246">
      <w:pPr>
        <w:rPr>
          <w:sz w:val="20"/>
          <w:szCs w:val="20"/>
        </w:rPr>
      </w:pPr>
    </w:p>
    <w:p w14:paraId="0C70C889" w14:textId="79491A31" w:rsidR="005D33C2" w:rsidRPr="00AA4FF8" w:rsidRDefault="00AA4FF8" w:rsidP="00AA4FF8">
      <w:pPr>
        <w:rPr>
          <w:b/>
          <w:color w:val="005467"/>
          <w:sz w:val="28"/>
          <w:szCs w:val="28"/>
        </w:rPr>
      </w:pPr>
      <w:r w:rsidRPr="00AA4FF8">
        <w:rPr>
          <w:b/>
          <w:color w:val="005467"/>
          <w:sz w:val="28"/>
          <w:szCs w:val="28"/>
        </w:rPr>
        <w:t>NOTICE OF INTENTION TO LEASE PREMISES</w:t>
      </w:r>
      <w:r>
        <w:rPr>
          <w:b/>
          <w:color w:val="005467"/>
          <w:sz w:val="28"/>
          <w:szCs w:val="28"/>
        </w:rPr>
        <w:br/>
      </w:r>
      <w:r w:rsidRPr="00AA4FF8">
        <w:rPr>
          <w:b/>
          <w:color w:val="005467"/>
          <w:sz w:val="28"/>
          <w:szCs w:val="28"/>
        </w:rPr>
        <w:t xml:space="preserve">(Part) 56-78 White Street, South Melbourne </w:t>
      </w:r>
    </w:p>
    <w:p w14:paraId="29D8EAC7" w14:textId="77777777" w:rsidR="00AA4FF8" w:rsidRPr="00AA4FF8" w:rsidRDefault="00AA4FF8" w:rsidP="00AA4FF8">
      <w:pPr>
        <w:spacing w:after="0"/>
        <w:rPr>
          <w:sz w:val="20"/>
          <w:szCs w:val="20"/>
        </w:rPr>
      </w:pPr>
      <w:bookmarkStart w:id="0" w:name="_Hlk69742463"/>
      <w:r w:rsidRPr="00AA4FF8">
        <w:rPr>
          <w:sz w:val="20"/>
          <w:szCs w:val="20"/>
        </w:rPr>
        <w:t xml:space="preserve">Port Phillip City Council </w:t>
      </w:r>
      <w:r w:rsidRPr="00AA4FF8">
        <w:rPr>
          <w:b/>
          <w:bCs/>
          <w:sz w:val="20"/>
          <w:szCs w:val="20"/>
        </w:rPr>
        <w:t xml:space="preserve">(Council) </w:t>
      </w:r>
      <w:r w:rsidRPr="00AA4FF8">
        <w:rPr>
          <w:sz w:val="20"/>
          <w:szCs w:val="20"/>
        </w:rPr>
        <w:t>invites submissions from the community regarding its intention to lease (Part) 56-78 White Street, South Melbourne</w:t>
      </w:r>
      <w:r w:rsidRPr="00AA4FF8">
        <w:rPr>
          <w:b/>
          <w:sz w:val="20"/>
          <w:szCs w:val="20"/>
        </w:rPr>
        <w:t>,</w:t>
      </w:r>
      <w:r w:rsidRPr="00AA4FF8">
        <w:rPr>
          <w:sz w:val="20"/>
          <w:szCs w:val="20"/>
        </w:rPr>
        <w:t xml:space="preserve"> being Crown Grant Volume 11753 Folio 293.</w:t>
      </w:r>
    </w:p>
    <w:p w14:paraId="01B398B5" w14:textId="77777777" w:rsidR="00AA4FF8" w:rsidRPr="00AA4FF8" w:rsidRDefault="00AA4FF8" w:rsidP="00AA4FF8">
      <w:pPr>
        <w:spacing w:after="0"/>
        <w:rPr>
          <w:sz w:val="20"/>
          <w:szCs w:val="20"/>
        </w:rPr>
      </w:pPr>
    </w:p>
    <w:p w14:paraId="61F60502" w14:textId="77777777" w:rsidR="00AA4FF8" w:rsidRPr="00AA4FF8" w:rsidRDefault="00AA4FF8" w:rsidP="00AA4FF8">
      <w:pPr>
        <w:spacing w:after="0"/>
        <w:rPr>
          <w:sz w:val="20"/>
          <w:szCs w:val="20"/>
        </w:rPr>
      </w:pPr>
      <w:r w:rsidRPr="00AA4FF8">
        <w:rPr>
          <w:sz w:val="20"/>
          <w:szCs w:val="20"/>
        </w:rPr>
        <w:t>The indicative maximum area of the lease is shown bounded by the blue line in Attachment 1, with associated indicative right of access shown shaded yellow.</w:t>
      </w:r>
    </w:p>
    <w:p w14:paraId="362B12D8" w14:textId="77777777" w:rsidR="00AA4FF8" w:rsidRPr="00AA4FF8" w:rsidRDefault="00AA4FF8" w:rsidP="00AA4FF8">
      <w:pPr>
        <w:spacing w:after="0"/>
        <w:rPr>
          <w:sz w:val="20"/>
          <w:szCs w:val="20"/>
        </w:rPr>
      </w:pPr>
    </w:p>
    <w:p w14:paraId="2D7EAF47" w14:textId="047EC5E3" w:rsidR="00AA4FF8" w:rsidRPr="00AA4FF8" w:rsidRDefault="00AA4FF8" w:rsidP="00AA4FF8">
      <w:pPr>
        <w:spacing w:after="0"/>
        <w:rPr>
          <w:sz w:val="20"/>
          <w:szCs w:val="20"/>
        </w:rPr>
      </w:pPr>
      <w:r w:rsidRPr="00AA4FF8">
        <w:rPr>
          <w:sz w:val="20"/>
          <w:szCs w:val="20"/>
        </w:rPr>
        <w:t>It is intended that the selected area(s) be leased:</w:t>
      </w:r>
    </w:p>
    <w:p w14:paraId="70170338" w14:textId="77777777" w:rsidR="00AA4FF8" w:rsidRPr="00AA4FF8" w:rsidRDefault="00AA4FF8" w:rsidP="00AA4FF8">
      <w:pPr>
        <w:pStyle w:val="ListParagraph"/>
        <w:numPr>
          <w:ilvl w:val="0"/>
          <w:numId w:val="4"/>
        </w:numPr>
        <w:rPr>
          <w:sz w:val="20"/>
          <w:szCs w:val="20"/>
        </w:rPr>
      </w:pPr>
      <w:r w:rsidRPr="00AA4FF8">
        <w:rPr>
          <w:sz w:val="20"/>
          <w:szCs w:val="20"/>
        </w:rPr>
        <w:t>Through a tender for civil infrastructure maintenance services.</w:t>
      </w:r>
    </w:p>
    <w:p w14:paraId="3DE35FAC" w14:textId="77777777" w:rsidR="00AA4FF8" w:rsidRPr="00AA4FF8" w:rsidRDefault="00AA4FF8" w:rsidP="00AA4FF8">
      <w:pPr>
        <w:pStyle w:val="ListParagraph"/>
        <w:numPr>
          <w:ilvl w:val="0"/>
          <w:numId w:val="4"/>
        </w:numPr>
        <w:rPr>
          <w:sz w:val="20"/>
          <w:szCs w:val="20"/>
        </w:rPr>
      </w:pPr>
      <w:r w:rsidRPr="00AA4FF8">
        <w:rPr>
          <w:sz w:val="20"/>
          <w:szCs w:val="20"/>
        </w:rPr>
        <w:t>At market rent, based on valuation held by Council.</w:t>
      </w:r>
    </w:p>
    <w:p w14:paraId="56DA2BB7" w14:textId="77777777" w:rsidR="00AA4FF8" w:rsidRPr="00AA4FF8" w:rsidRDefault="00AA4FF8" w:rsidP="00AA4FF8">
      <w:pPr>
        <w:pStyle w:val="ListParagraph"/>
        <w:numPr>
          <w:ilvl w:val="0"/>
          <w:numId w:val="4"/>
        </w:numPr>
        <w:rPr>
          <w:sz w:val="20"/>
          <w:szCs w:val="20"/>
        </w:rPr>
      </w:pPr>
      <w:r w:rsidRPr="00AA4FF8">
        <w:rPr>
          <w:sz w:val="20"/>
          <w:szCs w:val="20"/>
        </w:rPr>
        <w:t>For a term aligning with an associated civil infrastructure maintenance service agreement (of an anticipated total of 7 years, but no more than 7 and a half years).</w:t>
      </w:r>
    </w:p>
    <w:p w14:paraId="0ACBEA58" w14:textId="77777777" w:rsidR="00AA4FF8" w:rsidRPr="00AA4FF8" w:rsidRDefault="00AA4FF8" w:rsidP="00AA4FF8">
      <w:pPr>
        <w:pStyle w:val="ListParagraph"/>
        <w:rPr>
          <w:sz w:val="20"/>
          <w:szCs w:val="20"/>
        </w:rPr>
      </w:pPr>
    </w:p>
    <w:p w14:paraId="4BE9E3CC" w14:textId="77777777" w:rsidR="00AA4FF8" w:rsidRPr="00AA4FF8" w:rsidRDefault="00AA4FF8" w:rsidP="00AA4FF8">
      <w:pPr>
        <w:spacing w:after="0"/>
        <w:rPr>
          <w:sz w:val="20"/>
          <w:szCs w:val="20"/>
        </w:rPr>
      </w:pPr>
      <w:r w:rsidRPr="00AA4FF8">
        <w:rPr>
          <w:sz w:val="20"/>
          <w:szCs w:val="20"/>
        </w:rPr>
        <w:t xml:space="preserve">Any person may make a submission regarding this intention under section 223 of the </w:t>
      </w:r>
      <w:r w:rsidRPr="00AA4FF8">
        <w:rPr>
          <w:i/>
          <w:iCs/>
          <w:sz w:val="20"/>
          <w:szCs w:val="20"/>
        </w:rPr>
        <w:t>Local Government Act</w:t>
      </w:r>
      <w:r w:rsidRPr="00AA4FF8">
        <w:rPr>
          <w:sz w:val="20"/>
          <w:szCs w:val="20"/>
        </w:rPr>
        <w:t xml:space="preserve"> (“Act”). Council will consider all submissions prior to </w:t>
      </w:r>
      <w:proofErr w:type="gramStart"/>
      <w:r w:rsidRPr="00AA4FF8">
        <w:rPr>
          <w:sz w:val="20"/>
          <w:szCs w:val="20"/>
        </w:rPr>
        <w:t>making a decision</w:t>
      </w:r>
      <w:proofErr w:type="gramEnd"/>
      <w:r w:rsidRPr="00AA4FF8">
        <w:rPr>
          <w:sz w:val="20"/>
          <w:szCs w:val="20"/>
        </w:rPr>
        <w:t xml:space="preserve"> to lease the land.</w:t>
      </w:r>
    </w:p>
    <w:p w14:paraId="66D4DAEE" w14:textId="77777777" w:rsidR="00AA4FF8" w:rsidRPr="00AA4FF8" w:rsidRDefault="00AA4FF8" w:rsidP="00AA4FF8">
      <w:pPr>
        <w:spacing w:after="0"/>
        <w:rPr>
          <w:sz w:val="20"/>
          <w:szCs w:val="20"/>
        </w:rPr>
      </w:pPr>
    </w:p>
    <w:p w14:paraId="794FECFE" w14:textId="2AA017A7" w:rsidR="00AA4FF8" w:rsidRPr="00AA4FF8" w:rsidRDefault="00AA4FF8" w:rsidP="00AA4FF8">
      <w:pPr>
        <w:spacing w:after="0"/>
        <w:rPr>
          <w:sz w:val="20"/>
          <w:szCs w:val="20"/>
        </w:rPr>
      </w:pPr>
      <w:r w:rsidRPr="00AA4FF8">
        <w:rPr>
          <w:sz w:val="20"/>
          <w:szCs w:val="20"/>
        </w:rPr>
        <w:t>Submissions responding to this notice must be:</w:t>
      </w:r>
    </w:p>
    <w:p w14:paraId="3966E25E" w14:textId="77777777" w:rsidR="00AA4FF8" w:rsidRPr="00AA4FF8" w:rsidRDefault="00AA4FF8" w:rsidP="00AA4FF8">
      <w:pPr>
        <w:pStyle w:val="ListParagraph"/>
        <w:rPr>
          <w:sz w:val="20"/>
          <w:szCs w:val="20"/>
        </w:rPr>
      </w:pPr>
      <w:r w:rsidRPr="00AA4FF8">
        <w:rPr>
          <w:sz w:val="20"/>
          <w:szCs w:val="20"/>
        </w:rPr>
        <w:t>in writing</w:t>
      </w:r>
    </w:p>
    <w:p w14:paraId="3B06FCA7" w14:textId="77777777" w:rsidR="00AA4FF8" w:rsidRPr="00AA4FF8" w:rsidRDefault="00AA4FF8" w:rsidP="00AA4FF8">
      <w:pPr>
        <w:pStyle w:val="ListParagraph"/>
        <w:rPr>
          <w:sz w:val="20"/>
          <w:szCs w:val="20"/>
        </w:rPr>
      </w:pPr>
      <w:r w:rsidRPr="00AA4FF8">
        <w:rPr>
          <w:sz w:val="20"/>
          <w:szCs w:val="20"/>
        </w:rPr>
        <w:t>received by 5pm on Monday 17 May 2021</w:t>
      </w:r>
    </w:p>
    <w:p w14:paraId="1617579B" w14:textId="5AB82CF8" w:rsidR="00AA4FF8" w:rsidRPr="00AA4FF8" w:rsidRDefault="00AA4FF8" w:rsidP="00AA4FF8">
      <w:pPr>
        <w:pStyle w:val="ListParagraph"/>
        <w:rPr>
          <w:sz w:val="20"/>
          <w:szCs w:val="20"/>
        </w:rPr>
      </w:pPr>
      <w:r w:rsidRPr="00AA4FF8">
        <w:rPr>
          <w:sz w:val="20"/>
          <w:szCs w:val="20"/>
        </w:rPr>
        <w:t>hand delivered to the St Kilda Town Hall at 99a Carlisle Street St Kilda 3182 or posted to:</w:t>
      </w:r>
      <w:r w:rsidRPr="00AA4FF8">
        <w:rPr>
          <w:sz w:val="20"/>
          <w:szCs w:val="20"/>
        </w:rPr>
        <w:br/>
      </w:r>
    </w:p>
    <w:p w14:paraId="18888CFC" w14:textId="77777777" w:rsidR="00AA4FF8" w:rsidRPr="00AA4FF8" w:rsidRDefault="00AA4FF8" w:rsidP="00AA4FF8">
      <w:pPr>
        <w:spacing w:after="0"/>
        <w:ind w:firstLine="720"/>
        <w:rPr>
          <w:sz w:val="20"/>
          <w:szCs w:val="20"/>
        </w:rPr>
      </w:pPr>
      <w:r w:rsidRPr="00AA4FF8">
        <w:rPr>
          <w:sz w:val="20"/>
          <w:szCs w:val="20"/>
        </w:rPr>
        <w:t>Port Phillip City Council</w:t>
      </w:r>
    </w:p>
    <w:p w14:paraId="49955173" w14:textId="77777777" w:rsidR="00AA4FF8" w:rsidRPr="00AA4FF8" w:rsidRDefault="00AA4FF8" w:rsidP="00AA4FF8">
      <w:pPr>
        <w:spacing w:after="0"/>
        <w:ind w:firstLine="720"/>
        <w:rPr>
          <w:sz w:val="20"/>
          <w:szCs w:val="20"/>
        </w:rPr>
      </w:pPr>
      <w:r w:rsidRPr="00AA4FF8">
        <w:rPr>
          <w:sz w:val="20"/>
          <w:szCs w:val="20"/>
        </w:rPr>
        <w:t>Attention: Anthony Savenkov - Head of Real Estate Portfolio</w:t>
      </w:r>
    </w:p>
    <w:p w14:paraId="00628192" w14:textId="77777777" w:rsidR="00AA4FF8" w:rsidRPr="00AA4FF8" w:rsidRDefault="00AA4FF8" w:rsidP="00AA4FF8">
      <w:pPr>
        <w:spacing w:after="0"/>
        <w:ind w:firstLine="720"/>
        <w:rPr>
          <w:sz w:val="20"/>
          <w:szCs w:val="20"/>
        </w:rPr>
      </w:pPr>
      <w:r w:rsidRPr="00AA4FF8">
        <w:rPr>
          <w:sz w:val="20"/>
          <w:szCs w:val="20"/>
        </w:rPr>
        <w:t>Private Bag 3</w:t>
      </w:r>
    </w:p>
    <w:p w14:paraId="5E117AE1" w14:textId="77777777" w:rsidR="00AA4FF8" w:rsidRPr="00AA4FF8" w:rsidRDefault="00AA4FF8" w:rsidP="00AA4FF8">
      <w:pPr>
        <w:spacing w:after="0"/>
        <w:ind w:firstLine="720"/>
        <w:rPr>
          <w:sz w:val="20"/>
          <w:szCs w:val="20"/>
        </w:rPr>
      </w:pPr>
      <w:r w:rsidRPr="00AA4FF8">
        <w:rPr>
          <w:sz w:val="20"/>
          <w:szCs w:val="20"/>
        </w:rPr>
        <w:t>PO St Kilda, Victoria 3182</w:t>
      </w:r>
    </w:p>
    <w:p w14:paraId="5FA3F676" w14:textId="77777777"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r w:rsidRPr="00AA4FF8">
        <w:rPr>
          <w:rFonts w:ascii="Arial" w:hAnsi="Arial" w:cs="Arial"/>
          <w:color w:val="000000" w:themeColor="text1"/>
          <w:sz w:val="20"/>
          <w:szCs w:val="20"/>
        </w:rPr>
        <w:t xml:space="preserve">If you wish to be heard in support of your written submission, you must state so in your submission. This will entitle you (or a person acting on your behalf) to appear in person at a meeting of the Council (or its Committee) on a date, time and place to be determined by the Council. </w:t>
      </w:r>
    </w:p>
    <w:p w14:paraId="3032E43C" w14:textId="77777777" w:rsidR="00AA4FF8" w:rsidRPr="00AA4FF8" w:rsidRDefault="00AA4FF8" w:rsidP="00AA4FF8">
      <w:pPr>
        <w:spacing w:after="0"/>
        <w:rPr>
          <w:b/>
          <w:bCs/>
          <w:sz w:val="20"/>
          <w:szCs w:val="20"/>
        </w:rPr>
      </w:pPr>
      <w:r w:rsidRPr="00AA4FF8">
        <w:rPr>
          <w:b/>
          <w:bCs/>
          <w:sz w:val="20"/>
          <w:szCs w:val="20"/>
        </w:rPr>
        <w:t>This notice is given under Section 189 of the Act.</w:t>
      </w:r>
    </w:p>
    <w:p w14:paraId="2B6AA3B2" w14:textId="77777777"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r w:rsidRPr="00AA4FF8">
        <w:rPr>
          <w:rFonts w:ascii="Arial" w:hAnsi="Arial" w:cs="Arial"/>
          <w:color w:val="000000" w:themeColor="text1"/>
          <w:sz w:val="20"/>
          <w:szCs w:val="20"/>
        </w:rPr>
        <w:t>Please direct enquiries to Anthony Savenkov, Head of Real Estate Portfolio on 0466 163 302.</w:t>
      </w:r>
    </w:p>
    <w:p w14:paraId="3516AB99" w14:textId="77777777"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r w:rsidRPr="00AA4FF8">
        <w:rPr>
          <w:rFonts w:ascii="Arial" w:hAnsi="Arial" w:cs="Arial"/>
          <w:color w:val="000000" w:themeColor="text1"/>
          <w:sz w:val="20"/>
          <w:szCs w:val="20"/>
        </w:rPr>
        <w:t>Any person making a written submission under section 223 of the Act is advised that all submissions and personal information in the submission will be handled by Council in accordance with the provisions of the </w:t>
      </w:r>
      <w:r w:rsidRPr="00AA4FF8">
        <w:rPr>
          <w:rStyle w:val="Emphasis"/>
          <w:rFonts w:cs="Arial"/>
          <w:bCs/>
          <w:sz w:val="20"/>
          <w:szCs w:val="20"/>
        </w:rPr>
        <w:t>Privacy and Data Protection Act 2014</w:t>
      </w:r>
      <w:r w:rsidRPr="00AA4FF8">
        <w:rPr>
          <w:rFonts w:ascii="Arial" w:hAnsi="Arial" w:cs="Arial"/>
          <w:bCs/>
          <w:color w:val="000000" w:themeColor="text1"/>
          <w:sz w:val="20"/>
          <w:szCs w:val="20"/>
        </w:rPr>
        <w:t>.</w:t>
      </w:r>
    </w:p>
    <w:p w14:paraId="41C1CE72" w14:textId="77777777"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r w:rsidRPr="00AA4FF8">
        <w:rPr>
          <w:rFonts w:ascii="Arial" w:hAnsi="Arial" w:cs="Arial"/>
          <w:color w:val="000000" w:themeColor="text1"/>
          <w:sz w:val="20"/>
          <w:szCs w:val="20"/>
        </w:rPr>
        <w:t>Peter Smith</w:t>
      </w:r>
    </w:p>
    <w:p w14:paraId="4319B84A" w14:textId="3DDC663F"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r w:rsidRPr="00AA4FF8">
        <w:rPr>
          <w:rFonts w:ascii="Arial" w:hAnsi="Arial" w:cs="Arial"/>
          <w:color w:val="000000" w:themeColor="text1"/>
          <w:sz w:val="20"/>
          <w:szCs w:val="20"/>
        </w:rPr>
        <w:t>Chief Executive Officer</w:t>
      </w:r>
    </w:p>
    <w:p w14:paraId="4B4B4671" w14:textId="21DA48CD"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p>
    <w:p w14:paraId="4E279B97" w14:textId="77777777" w:rsidR="00AA4FF8" w:rsidRPr="00AA4FF8" w:rsidRDefault="00AA4FF8" w:rsidP="00AA4FF8">
      <w:pPr>
        <w:pStyle w:val="NormalWeb"/>
        <w:spacing w:before="210" w:beforeAutospacing="0" w:after="210" w:afterAutospacing="0"/>
        <w:rPr>
          <w:rFonts w:ascii="Arial" w:hAnsi="Arial" w:cs="Arial"/>
          <w:color w:val="000000" w:themeColor="text1"/>
          <w:sz w:val="20"/>
          <w:szCs w:val="20"/>
        </w:rPr>
      </w:pPr>
    </w:p>
    <w:p w14:paraId="5AE6715C" w14:textId="0471F728" w:rsidR="00AA4FF8" w:rsidRPr="00AA4FF8" w:rsidRDefault="00AA4FF8" w:rsidP="00AA4FF8">
      <w:pPr>
        <w:ind w:left="720"/>
        <w:rPr>
          <w:b/>
          <w:bCs/>
          <w:sz w:val="20"/>
          <w:szCs w:val="20"/>
        </w:rPr>
      </w:pPr>
      <w:r w:rsidRPr="00AA4FF8">
        <w:rPr>
          <w:b/>
          <w:bCs/>
          <w:sz w:val="20"/>
          <w:szCs w:val="20"/>
        </w:rPr>
        <w:t>Attachment 1</w:t>
      </w:r>
    </w:p>
    <w:p w14:paraId="23237780" w14:textId="77777777" w:rsidR="00AA4FF8" w:rsidRPr="00AA4FF8" w:rsidRDefault="00AA4FF8" w:rsidP="00AA4FF8">
      <w:pPr>
        <w:ind w:left="720"/>
        <w:rPr>
          <w:b/>
          <w:bCs/>
          <w:sz w:val="20"/>
          <w:szCs w:val="20"/>
        </w:rPr>
      </w:pPr>
    </w:p>
    <w:p w14:paraId="3D8F2641" w14:textId="0F4B6821" w:rsidR="00AA4FF8" w:rsidRPr="00AA4FF8" w:rsidRDefault="00AA4FF8" w:rsidP="00AA4FF8">
      <w:pPr>
        <w:ind w:left="720"/>
        <w:rPr>
          <w:sz w:val="20"/>
          <w:szCs w:val="20"/>
        </w:rPr>
      </w:pPr>
      <w:r w:rsidRPr="00AA4FF8">
        <w:rPr>
          <w:b/>
          <w:bCs/>
          <w:sz w:val="20"/>
          <w:szCs w:val="20"/>
        </w:rPr>
        <mc:AlternateContent>
          <mc:Choice Requires="wps">
            <w:drawing>
              <wp:anchor distT="0" distB="0" distL="114300" distR="114300" simplePos="0" relativeHeight="251659264" behindDoc="0" locked="0" layoutInCell="1" allowOverlap="1" wp14:anchorId="3089A062" wp14:editId="2ADAA146">
                <wp:simplePos x="0" y="0"/>
                <wp:positionH relativeFrom="column">
                  <wp:posOffset>6559826</wp:posOffset>
                </wp:positionH>
                <wp:positionV relativeFrom="paragraph">
                  <wp:posOffset>230588</wp:posOffset>
                </wp:positionV>
                <wp:extent cx="1637969" cy="763325"/>
                <wp:effectExtent l="0" t="0" r="635" b="0"/>
                <wp:wrapNone/>
                <wp:docPr id="3" name="Rectangle 3"/>
                <wp:cNvGraphicFramePr/>
                <a:graphic xmlns:a="http://schemas.openxmlformats.org/drawingml/2006/main">
                  <a:graphicData uri="http://schemas.microsoft.com/office/word/2010/wordprocessingShape">
                    <wps:wsp>
                      <wps:cNvSpPr/>
                      <wps:spPr>
                        <a:xfrm>
                          <a:off x="0" y="0"/>
                          <a:ext cx="1637969" cy="763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26242" id="Rectangle 3" o:spid="_x0000_s1026" style="position:absolute;margin-left:516.5pt;margin-top:18.15pt;width:128.95pt;height:6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" fillcolor="white [3212]" stroked="f" strokeweight="1pt"/>
            </w:pict>
          </mc:Fallback>
        </mc:AlternateContent>
      </w:r>
      <w:r w:rsidRPr="00AA4FF8">
        <w:rPr>
          <w:b/>
          <w:bCs/>
          <w:sz w:val="20"/>
          <w:szCs w:val="20"/>
        </w:rPr>
        <w:t>Indicative area of the lease, together with lease area access.</w:t>
      </w:r>
    </w:p>
    <w:p w14:paraId="37BB6DEC" w14:textId="77777777" w:rsidR="00AA4FF8" w:rsidRPr="00AA4FF8" w:rsidRDefault="00AA4FF8" w:rsidP="00AA4FF8">
      <w:pPr>
        <w:ind w:left="720"/>
        <w:rPr>
          <w:sz w:val="20"/>
          <w:szCs w:val="20"/>
        </w:rPr>
      </w:pPr>
      <w:r w:rsidRPr="00AA4FF8">
        <w:rPr>
          <w:sz w:val="20"/>
          <w:szCs w:val="20"/>
        </w:rPr>
        <w:drawing>
          <wp:inline distT="0" distB="0" distL="0" distR="0" wp14:anchorId="2069D3D2" wp14:editId="16EFED84">
            <wp:extent cx="5295900" cy="4756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7600"/>
                    <a:stretch/>
                  </pic:blipFill>
                  <pic:spPr bwMode="auto">
                    <a:xfrm>
                      <a:off x="0" y="0"/>
                      <a:ext cx="5295900" cy="4756150"/>
                    </a:xfrm>
                    <a:prstGeom prst="rect">
                      <a:avLst/>
                    </a:prstGeom>
                    <a:ln>
                      <a:noFill/>
                    </a:ln>
                    <a:extLst>
                      <a:ext uri="{53640926-AAD7-44D8-BBD7-CCE9431645EC}">
                        <a14:shadowObscured xmlns:a14="http://schemas.microsoft.com/office/drawing/2010/main"/>
                      </a:ext>
                    </a:extLst>
                  </pic:spPr>
                </pic:pic>
              </a:graphicData>
            </a:graphic>
          </wp:inline>
        </w:drawing>
      </w:r>
    </w:p>
    <w:p w14:paraId="2C74B633" w14:textId="77777777" w:rsidR="00AA4FF8" w:rsidRPr="00AA4FF8" w:rsidRDefault="00AA4FF8" w:rsidP="00AA4FF8">
      <w:pPr>
        <w:ind w:left="720"/>
        <w:rPr>
          <w:b/>
          <w:bCs/>
          <w:sz w:val="20"/>
          <w:szCs w:val="20"/>
        </w:rPr>
      </w:pPr>
      <w:r w:rsidRPr="00AA4FF8">
        <w:rPr>
          <w:b/>
          <w:bCs/>
          <w:sz w:val="20"/>
          <w:szCs w:val="20"/>
        </w:rPr>
        <w:t>Image above: the indicative lease area (shaded blue), and the associated access (shaded yellow), at 56-78 White Street, South Melbourne.</w:t>
      </w:r>
    </w:p>
    <w:p w14:paraId="147E969A" w14:textId="77777777" w:rsidR="00AA4FF8" w:rsidRPr="00AA4FF8" w:rsidRDefault="00AA4FF8" w:rsidP="00AA4FF8">
      <w:pPr>
        <w:ind w:left="720"/>
        <w:rPr>
          <w:sz w:val="20"/>
          <w:szCs w:val="20"/>
        </w:rPr>
      </w:pPr>
    </w:p>
    <w:bookmarkEnd w:id="0"/>
    <w:p w14:paraId="274B23D6" w14:textId="08AA915A" w:rsidR="00AA4FF8" w:rsidRPr="00AA4FF8" w:rsidRDefault="00AA4FF8" w:rsidP="00AA4FF8">
      <w:pPr>
        <w:ind w:left="720"/>
        <w:rPr>
          <w:sz w:val="20"/>
          <w:szCs w:val="20"/>
        </w:rPr>
      </w:pPr>
    </w:p>
    <w:p w14:paraId="2B9D0F6E" w14:textId="4365B399" w:rsidR="00314F23" w:rsidRPr="00AA4FF8" w:rsidRDefault="00314F23" w:rsidP="00852246">
      <w:pPr>
        <w:ind w:left="720"/>
        <w:rPr>
          <w:sz w:val="20"/>
          <w:szCs w:val="20"/>
        </w:rPr>
      </w:pPr>
    </w:p>
    <w:p w14:paraId="2FA7C23F" w14:textId="77777777" w:rsidR="00314F23" w:rsidRPr="00AA4FF8" w:rsidRDefault="00314F23" w:rsidP="00852246">
      <w:pPr>
        <w:ind w:left="720"/>
        <w:rPr>
          <w:sz w:val="20"/>
          <w:szCs w:val="20"/>
        </w:rPr>
      </w:pPr>
    </w:p>
    <w:p w14:paraId="4672D7C7" w14:textId="77777777" w:rsidR="00852246" w:rsidRPr="00AA4FF8" w:rsidRDefault="00852246" w:rsidP="00852246">
      <w:pPr>
        <w:ind w:left="720"/>
        <w:rPr>
          <w:sz w:val="20"/>
          <w:szCs w:val="20"/>
        </w:rPr>
      </w:pPr>
    </w:p>
    <w:p w14:paraId="3ECCBF6A" w14:textId="77777777" w:rsidR="00852246" w:rsidRPr="00AA4FF8" w:rsidRDefault="00852246" w:rsidP="00F24447">
      <w:pPr>
        <w:rPr>
          <w:sz w:val="20"/>
          <w:szCs w:val="20"/>
        </w:rPr>
      </w:pPr>
    </w:p>
    <w:sectPr w:rsidR="00852246" w:rsidRPr="00AA4FF8" w:rsidSect="000E359E">
      <w:headerReference w:type="default" r:id="rId9"/>
      <w:footerReference w:type="default" r:id="rId10"/>
      <w:headerReference w:type="first" r:id="rId11"/>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05BD" w14:textId="77777777" w:rsidR="00942325" w:rsidRDefault="00942325" w:rsidP="004D04F4">
      <w:r>
        <w:separator/>
      </w:r>
    </w:p>
  </w:endnote>
  <w:endnote w:type="continuationSeparator" w:id="0">
    <w:p w14:paraId="6CA5D661" w14:textId="77777777" w:rsidR="00942325" w:rsidRDefault="00942325"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942325">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D8795" w14:textId="77777777" w:rsidR="00942325" w:rsidRDefault="00942325" w:rsidP="004D04F4">
      <w:r>
        <w:separator/>
      </w:r>
    </w:p>
  </w:footnote>
  <w:footnote w:type="continuationSeparator" w:id="0">
    <w:p w14:paraId="700F9E50" w14:textId="77777777" w:rsidR="00942325" w:rsidRDefault="00942325"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674"/>
    <w:multiLevelType w:val="hybridMultilevel"/>
    <w:tmpl w:val="58B802E8"/>
    <w:lvl w:ilvl="0" w:tplc="FF2CF5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CB7707"/>
    <w:multiLevelType w:val="hybridMultilevel"/>
    <w:tmpl w:val="C21E9DCE"/>
    <w:lvl w:ilvl="0" w:tplc="0C090001">
      <w:start w:val="1"/>
      <w:numFmt w:val="bullet"/>
      <w:lvlText w:val=""/>
      <w:lvlJc w:val="left"/>
      <w:pPr>
        <w:ind w:left="1854" w:hanging="72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256A0839"/>
    <w:multiLevelType w:val="hybridMultilevel"/>
    <w:tmpl w:val="5AF010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564F68"/>
    <w:multiLevelType w:val="hybridMultilevel"/>
    <w:tmpl w:val="3DAC4A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7" w15:restartNumberingAfterBreak="0">
    <w:nsid w:val="5C9F0276"/>
    <w:multiLevelType w:val="hybridMultilevel"/>
    <w:tmpl w:val="0CDEFD32"/>
    <w:lvl w:ilvl="0" w:tplc="7B9A37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882189B"/>
    <w:multiLevelType w:val="hybridMultilevel"/>
    <w:tmpl w:val="8774F9D6"/>
    <w:lvl w:ilvl="0" w:tplc="0C090001">
      <w:start w:val="1"/>
      <w:numFmt w:val="bullet"/>
      <w:lvlText w:val=""/>
      <w:lvlJc w:val="left"/>
      <w:pPr>
        <w:ind w:left="2160" w:hanging="72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47169BE"/>
    <w:multiLevelType w:val="hybridMultilevel"/>
    <w:tmpl w:val="FE30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622BF"/>
    <w:multiLevelType w:val="hybridMultilevel"/>
    <w:tmpl w:val="8F646E84"/>
    <w:lvl w:ilvl="0" w:tplc="5AFAAA96">
      <w:start w:val="1"/>
      <w:numFmt w:val="bullet"/>
      <w:lvlText w:val=""/>
      <w:lvlJc w:val="left"/>
      <w:pPr>
        <w:ind w:left="360" w:hanging="360"/>
      </w:pPr>
      <w:rPr>
        <w:rFonts w:ascii="Symbol" w:hAnsi="Symbol" w:hint="default"/>
      </w:rPr>
    </w:lvl>
    <w:lvl w:ilvl="1" w:tplc="1B887BAC">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10"/>
  </w:num>
  <w:num w:numId="6">
    <w:abstractNumId w:val="3"/>
  </w:num>
  <w:num w:numId="7">
    <w:abstractNumId w:val="2"/>
  </w:num>
  <w:num w:numId="8">
    <w:abstractNumId w:val="5"/>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E359E"/>
    <w:rsid w:val="000E39A1"/>
    <w:rsid w:val="0011519C"/>
    <w:rsid w:val="001A03AC"/>
    <w:rsid w:val="001D3172"/>
    <w:rsid w:val="001E7EE5"/>
    <w:rsid w:val="001F2780"/>
    <w:rsid w:val="001F6F66"/>
    <w:rsid w:val="002135B1"/>
    <w:rsid w:val="00231013"/>
    <w:rsid w:val="00262255"/>
    <w:rsid w:val="0026397D"/>
    <w:rsid w:val="002835CE"/>
    <w:rsid w:val="002A38C8"/>
    <w:rsid w:val="002B588B"/>
    <w:rsid w:val="002C35D5"/>
    <w:rsid w:val="002D35F3"/>
    <w:rsid w:val="00314F23"/>
    <w:rsid w:val="003E382A"/>
    <w:rsid w:val="00414DCD"/>
    <w:rsid w:val="004201F9"/>
    <w:rsid w:val="00441ABB"/>
    <w:rsid w:val="00465F07"/>
    <w:rsid w:val="0049017E"/>
    <w:rsid w:val="004D04F4"/>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5EF9"/>
    <w:rsid w:val="007F6187"/>
    <w:rsid w:val="00800773"/>
    <w:rsid w:val="00852246"/>
    <w:rsid w:val="00876819"/>
    <w:rsid w:val="00891B28"/>
    <w:rsid w:val="008A304C"/>
    <w:rsid w:val="008F32FA"/>
    <w:rsid w:val="00942325"/>
    <w:rsid w:val="00953923"/>
    <w:rsid w:val="00964956"/>
    <w:rsid w:val="00971FE5"/>
    <w:rsid w:val="009924EC"/>
    <w:rsid w:val="00993001"/>
    <w:rsid w:val="0099794F"/>
    <w:rsid w:val="009A217F"/>
    <w:rsid w:val="009E4C42"/>
    <w:rsid w:val="00A01C63"/>
    <w:rsid w:val="00A23726"/>
    <w:rsid w:val="00A255D5"/>
    <w:rsid w:val="00A86131"/>
    <w:rsid w:val="00AA4FF8"/>
    <w:rsid w:val="00AA5B67"/>
    <w:rsid w:val="00AB2E8A"/>
    <w:rsid w:val="00AE4A2F"/>
    <w:rsid w:val="00B11BCB"/>
    <w:rsid w:val="00B61A84"/>
    <w:rsid w:val="00C52278"/>
    <w:rsid w:val="00CF35CE"/>
    <w:rsid w:val="00D00834"/>
    <w:rsid w:val="00D05074"/>
    <w:rsid w:val="00D327D7"/>
    <w:rsid w:val="00D750EF"/>
    <w:rsid w:val="00DB4FCE"/>
    <w:rsid w:val="00DF181C"/>
    <w:rsid w:val="00E431BC"/>
    <w:rsid w:val="00E547FB"/>
    <w:rsid w:val="00F23A27"/>
    <w:rsid w:val="00F2444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AA4FF8"/>
    <w:pPr>
      <w:numPr>
        <w:numId w:val="11"/>
      </w:numPr>
      <w:spacing w:after="0" w:line="259" w:lineRule="auto"/>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qFormat/>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NormalWeb">
    <w:name w:val="Normal (Web)"/>
    <w:basedOn w:val="Normal"/>
    <w:uiPriority w:val="99"/>
    <w:unhideWhenUsed/>
    <w:rsid w:val="00AA4FF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Port Phillip internal document</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2021-04-19T06:49:00Z</dcterms:created>
  <dcterms:modified xsi:type="dcterms:W3CDTF">2021-04-19T06:49:00Z</dcterms:modified>
</cp:coreProperties>
</file>