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9F" w:rsidRPr="00653B78" w:rsidRDefault="00C058F5" w:rsidP="008D21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6666"/>
          <w:sz w:val="24"/>
          <w:szCs w:val="24"/>
        </w:rPr>
        <w:t>Council Early Childhood Education and C</w:t>
      </w:r>
      <w:r w:rsidR="008D219F">
        <w:rPr>
          <w:rFonts w:ascii="Arial" w:hAnsi="Arial" w:cs="Arial"/>
          <w:b/>
          <w:color w:val="006666"/>
          <w:sz w:val="24"/>
          <w:szCs w:val="24"/>
        </w:rPr>
        <w:t>are</w:t>
      </w:r>
      <w:r w:rsidR="008D219F" w:rsidRPr="00653B78">
        <w:rPr>
          <w:rFonts w:ascii="Arial" w:hAnsi="Arial" w:cs="Arial"/>
          <w:b/>
          <w:color w:val="006666"/>
          <w:sz w:val="24"/>
          <w:szCs w:val="24"/>
        </w:rPr>
        <w:t xml:space="preserve"> Centres »</w:t>
      </w: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 w:rsidRPr="00653B78">
        <w:rPr>
          <w:rFonts w:ascii="Arial" w:hAnsi="Arial" w:cs="Arial"/>
          <w:sz w:val="20"/>
          <w:szCs w:val="20"/>
        </w:rPr>
        <w:t xml:space="preserve">The City of Port Phillip manages four </w:t>
      </w:r>
      <w:r>
        <w:rPr>
          <w:rFonts w:ascii="Arial" w:hAnsi="Arial" w:cs="Arial"/>
          <w:sz w:val="20"/>
          <w:szCs w:val="20"/>
        </w:rPr>
        <w:t>early childhood education and care</w:t>
      </w:r>
      <w:r w:rsidRPr="00653B78">
        <w:rPr>
          <w:rFonts w:ascii="Arial" w:hAnsi="Arial" w:cs="Arial"/>
          <w:sz w:val="20"/>
          <w:szCs w:val="20"/>
        </w:rPr>
        <w:t xml:space="preserve"> centr</w:t>
      </w:r>
      <w:r>
        <w:rPr>
          <w:rFonts w:ascii="Arial" w:hAnsi="Arial" w:cs="Arial"/>
          <w:sz w:val="20"/>
          <w:szCs w:val="20"/>
        </w:rPr>
        <w:t xml:space="preserve">es </w:t>
      </w:r>
      <w:r w:rsidRPr="00653B78">
        <w:rPr>
          <w:rFonts w:ascii="Arial" w:hAnsi="Arial" w:cs="Arial"/>
          <w:sz w:val="20"/>
          <w:szCs w:val="20"/>
        </w:rPr>
        <w:t xml:space="preserve">and one extended hours kindergarten. </w:t>
      </w: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 w:rsidRPr="00653B78">
        <w:rPr>
          <w:rFonts w:ascii="Arial" w:hAnsi="Arial" w:cs="Arial"/>
          <w:sz w:val="20"/>
          <w:szCs w:val="20"/>
        </w:rPr>
        <w:t>All centres are fully regulated and provide quality and engaging programs for individual children, family and group needs within the approved learning frameworks, policies and procedures</w:t>
      </w:r>
      <w:r w:rsidR="00371B7F">
        <w:rPr>
          <w:rFonts w:ascii="Arial" w:hAnsi="Arial" w:cs="Arial"/>
          <w:sz w:val="20"/>
          <w:szCs w:val="20"/>
        </w:rPr>
        <w:t xml:space="preserve">. This includes the </w:t>
      </w:r>
      <w:r w:rsidRPr="00653B78">
        <w:rPr>
          <w:rFonts w:ascii="Arial" w:hAnsi="Arial" w:cs="Arial"/>
          <w:sz w:val="20"/>
          <w:szCs w:val="20"/>
        </w:rPr>
        <w:t>Early Years Learning Framework (EYLF) and the Victorian Early Years Learning and Development Framework (VEYLDF).</w:t>
      </w: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 w:rsidRPr="00653B78">
        <w:rPr>
          <w:rFonts w:ascii="Arial" w:hAnsi="Arial" w:cs="Arial"/>
          <w:sz w:val="20"/>
          <w:szCs w:val="20"/>
        </w:rPr>
        <w:t>All services operate within the National Quality Framework</w:t>
      </w:r>
      <w:r w:rsidR="00DD4C20">
        <w:rPr>
          <w:rFonts w:ascii="Arial" w:hAnsi="Arial" w:cs="Arial"/>
          <w:sz w:val="20"/>
          <w:szCs w:val="20"/>
        </w:rPr>
        <w:t xml:space="preserve">, Council Policies and </w:t>
      </w:r>
      <w:r w:rsidRPr="00653B78">
        <w:rPr>
          <w:rFonts w:ascii="Arial" w:hAnsi="Arial" w:cs="Arial"/>
          <w:sz w:val="20"/>
          <w:szCs w:val="20"/>
        </w:rPr>
        <w:t>City of Port Phillip children's centre procedures.</w:t>
      </w:r>
    </w:p>
    <w:p w:rsidR="008D219F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4"/>
          <w:szCs w:val="24"/>
        </w:rPr>
      </w:pPr>
      <w:r w:rsidRPr="00653B78">
        <w:rPr>
          <w:rFonts w:ascii="Arial" w:hAnsi="Arial" w:cs="Arial"/>
          <w:b/>
          <w:color w:val="006666"/>
          <w:sz w:val="24"/>
          <w:szCs w:val="24"/>
        </w:rPr>
        <w:t>For more information »</w:t>
      </w: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Default="008D219F" w:rsidP="008D219F">
      <w:pPr>
        <w:spacing w:after="0"/>
        <w:rPr>
          <w:rFonts w:ascii="Arial" w:hAnsi="Arial" w:cs="Arial"/>
          <w:b/>
          <w:color w:val="006666"/>
          <w:sz w:val="24"/>
          <w:szCs w:val="24"/>
        </w:rPr>
      </w:pPr>
      <w:r>
        <w:rPr>
          <w:rFonts w:ascii="Arial" w:hAnsi="Arial" w:cs="Arial"/>
          <w:b/>
          <w:color w:val="006666"/>
          <w:sz w:val="24"/>
          <w:szCs w:val="24"/>
        </w:rPr>
        <w:t>Council Centres</w:t>
      </w:r>
      <w:r w:rsidRPr="00653B78">
        <w:rPr>
          <w:rFonts w:ascii="Arial" w:hAnsi="Arial" w:cs="Arial"/>
          <w:b/>
          <w:color w:val="006666"/>
          <w:sz w:val="24"/>
          <w:szCs w:val="24"/>
        </w:rPr>
        <w:t xml:space="preserve"> »</w:t>
      </w:r>
      <w:r>
        <w:rPr>
          <w:rFonts w:ascii="Arial" w:hAnsi="Arial" w:cs="Arial"/>
          <w:b/>
          <w:color w:val="006666"/>
          <w:sz w:val="24"/>
          <w:szCs w:val="24"/>
        </w:rPr>
        <w:t xml:space="preserve"> </w:t>
      </w:r>
      <w:r w:rsidRPr="007658F0">
        <w:rPr>
          <w:rFonts w:ascii="Arial" w:hAnsi="Arial" w:cs="Arial"/>
          <w:sz w:val="20"/>
          <w:szCs w:val="20"/>
          <w:highlight w:val="yellow"/>
        </w:rPr>
        <w:t xml:space="preserve">Drop down with the below </w:t>
      </w:r>
      <w:r>
        <w:rPr>
          <w:rFonts w:ascii="Arial" w:hAnsi="Arial" w:cs="Arial"/>
          <w:sz w:val="20"/>
          <w:szCs w:val="20"/>
          <w:highlight w:val="yellow"/>
        </w:rPr>
        <w:t>two headings</w:t>
      </w:r>
      <w:r w:rsidRPr="007658F0">
        <w:rPr>
          <w:rFonts w:ascii="Arial" w:hAnsi="Arial" w:cs="Arial"/>
          <w:b/>
          <w:sz w:val="24"/>
          <w:szCs w:val="24"/>
        </w:rPr>
        <w:t xml:space="preserve"> </w:t>
      </w:r>
    </w:p>
    <w:p w:rsidR="008D219F" w:rsidRDefault="008D219F" w:rsidP="008D219F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8D219F" w:rsidRPr="007658F0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6666"/>
          <w:sz w:val="20"/>
          <w:szCs w:val="20"/>
        </w:rPr>
        <w:tab/>
      </w:r>
      <w:r w:rsidRPr="007658F0">
        <w:rPr>
          <w:rFonts w:ascii="Arial" w:hAnsi="Arial" w:cs="Arial"/>
          <w:b/>
          <w:color w:val="006666"/>
          <w:sz w:val="20"/>
          <w:szCs w:val="20"/>
        </w:rPr>
        <w:t>For 0-6 year olds »</w:t>
      </w:r>
      <w:r w:rsidRPr="007658F0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7658F0">
        <w:rPr>
          <w:rFonts w:ascii="Arial" w:hAnsi="Arial" w:cs="Arial"/>
          <w:sz w:val="20"/>
          <w:szCs w:val="20"/>
          <w:highlight w:val="yellow"/>
        </w:rPr>
        <w:t>Heading 1 drops down with links</w:t>
      </w:r>
    </w:p>
    <w:p w:rsidR="008D219F" w:rsidRPr="00653B78" w:rsidRDefault="00EB46BE" w:rsidP="008D219F">
      <w:pPr>
        <w:numPr>
          <w:ilvl w:val="0"/>
          <w:numId w:val="2"/>
        </w:numPr>
        <w:spacing w:after="0"/>
        <w:rPr>
          <w:rFonts w:ascii="Arial" w:hAnsi="Arial" w:cs="Arial"/>
          <w:color w:val="006666"/>
          <w:sz w:val="20"/>
          <w:szCs w:val="20"/>
        </w:rPr>
      </w:pPr>
      <w:hyperlink r:id="rId5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Bubup Nairm Children's Centre</w:t>
        </w:r>
      </w:hyperlink>
    </w:p>
    <w:p w:rsidR="008D219F" w:rsidRPr="00653B78" w:rsidRDefault="00EB46BE" w:rsidP="008D219F">
      <w:pPr>
        <w:numPr>
          <w:ilvl w:val="0"/>
          <w:numId w:val="2"/>
        </w:numPr>
        <w:spacing w:after="0"/>
        <w:rPr>
          <w:rFonts w:ascii="Arial" w:hAnsi="Arial" w:cs="Arial"/>
          <w:color w:val="006666"/>
          <w:sz w:val="20"/>
          <w:szCs w:val="20"/>
        </w:rPr>
      </w:pPr>
      <w:hyperlink r:id="rId6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Clark Street Children's Centre</w:t>
        </w:r>
      </w:hyperlink>
    </w:p>
    <w:p w:rsidR="008D219F" w:rsidRPr="00653B78" w:rsidRDefault="00EB46BE" w:rsidP="008D219F">
      <w:pPr>
        <w:numPr>
          <w:ilvl w:val="0"/>
          <w:numId w:val="2"/>
        </w:numPr>
        <w:spacing w:after="0"/>
        <w:rPr>
          <w:rFonts w:ascii="Arial" w:hAnsi="Arial" w:cs="Arial"/>
          <w:color w:val="006666"/>
          <w:sz w:val="20"/>
          <w:szCs w:val="20"/>
        </w:rPr>
      </w:pPr>
      <w:hyperlink r:id="rId7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Coventry Children's Centre</w:t>
        </w:r>
      </w:hyperlink>
    </w:p>
    <w:p w:rsidR="008D219F" w:rsidRPr="00653B78" w:rsidRDefault="00EB46BE" w:rsidP="008D219F">
      <w:pPr>
        <w:numPr>
          <w:ilvl w:val="0"/>
          <w:numId w:val="2"/>
        </w:numPr>
        <w:spacing w:after="0"/>
        <w:rPr>
          <w:rFonts w:ascii="Arial" w:hAnsi="Arial" w:cs="Arial"/>
          <w:color w:val="006666"/>
          <w:sz w:val="20"/>
          <w:szCs w:val="20"/>
        </w:rPr>
      </w:pPr>
      <w:hyperlink r:id="rId8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North St Kilda Children's Centre</w:t>
        </w:r>
      </w:hyperlink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7658F0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6666"/>
          <w:sz w:val="20"/>
          <w:szCs w:val="20"/>
        </w:rPr>
        <w:tab/>
      </w:r>
      <w:r w:rsidRPr="007658F0">
        <w:rPr>
          <w:rFonts w:ascii="Arial" w:hAnsi="Arial" w:cs="Arial"/>
          <w:b/>
          <w:color w:val="006666"/>
          <w:sz w:val="20"/>
          <w:szCs w:val="20"/>
        </w:rPr>
        <w:t xml:space="preserve">For 3-6 year olds </w:t>
      </w:r>
      <w:r>
        <w:rPr>
          <w:rFonts w:ascii="Arial" w:hAnsi="Arial" w:cs="Arial"/>
          <w:sz w:val="20"/>
          <w:szCs w:val="20"/>
          <w:highlight w:val="yellow"/>
        </w:rPr>
        <w:t>Heading 2</w:t>
      </w:r>
      <w:r w:rsidRPr="007658F0">
        <w:rPr>
          <w:rFonts w:ascii="Arial" w:hAnsi="Arial" w:cs="Arial"/>
          <w:sz w:val="20"/>
          <w:szCs w:val="20"/>
          <w:highlight w:val="yellow"/>
        </w:rPr>
        <w:t xml:space="preserve"> drops down with links</w:t>
      </w:r>
      <w:r w:rsidRPr="007658F0">
        <w:rPr>
          <w:rFonts w:ascii="Arial" w:hAnsi="Arial" w:cs="Arial"/>
          <w:b/>
          <w:color w:val="006666"/>
          <w:sz w:val="20"/>
          <w:szCs w:val="20"/>
        </w:rPr>
        <w:t xml:space="preserve"> »</w:t>
      </w:r>
      <w:r>
        <w:rPr>
          <w:rFonts w:ascii="Arial" w:hAnsi="Arial" w:cs="Arial"/>
          <w:b/>
          <w:color w:val="006666"/>
          <w:sz w:val="20"/>
          <w:szCs w:val="20"/>
        </w:rPr>
        <w:t xml:space="preserve"> </w:t>
      </w:r>
    </w:p>
    <w:p w:rsidR="008D219F" w:rsidRPr="007658F0" w:rsidRDefault="00EB46BE" w:rsidP="008D219F">
      <w:pPr>
        <w:numPr>
          <w:ilvl w:val="0"/>
          <w:numId w:val="2"/>
        </w:numPr>
        <w:spacing w:after="0"/>
        <w:rPr>
          <w:rFonts w:ascii="Arial" w:hAnsi="Arial" w:cs="Arial"/>
          <w:color w:val="006666"/>
          <w:sz w:val="20"/>
          <w:szCs w:val="20"/>
        </w:rPr>
      </w:pPr>
      <w:hyperlink r:id="rId9" w:history="1">
        <w:r w:rsidR="008D219F" w:rsidRPr="007658F0">
          <w:rPr>
            <w:rStyle w:val="Hyperlink"/>
            <w:rFonts w:ascii="Arial" w:hAnsi="Arial" w:cs="Arial"/>
            <w:color w:val="006666"/>
            <w:sz w:val="20"/>
            <w:szCs w:val="20"/>
          </w:rPr>
          <w:t>Barring Djinang Kindergarten</w:t>
        </w:r>
      </w:hyperlink>
    </w:p>
    <w:p w:rsidR="008D219F" w:rsidRPr="007658F0" w:rsidRDefault="008D219F" w:rsidP="008D219F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8D219F" w:rsidRDefault="008D219F" w:rsidP="008D219F">
      <w:pPr>
        <w:spacing w:after="0"/>
        <w:rPr>
          <w:rFonts w:ascii="Arial" w:hAnsi="Arial" w:cs="Arial"/>
          <w:b/>
          <w:color w:val="006666"/>
          <w:sz w:val="24"/>
          <w:szCs w:val="24"/>
        </w:rPr>
      </w:pPr>
      <w:r w:rsidRPr="00653B78">
        <w:rPr>
          <w:rFonts w:ascii="Arial" w:hAnsi="Arial" w:cs="Arial"/>
          <w:b/>
          <w:color w:val="006666"/>
          <w:sz w:val="24"/>
          <w:szCs w:val="24"/>
        </w:rPr>
        <w:t>Fees »</w:t>
      </w:r>
      <w:r>
        <w:rPr>
          <w:rFonts w:ascii="Arial" w:hAnsi="Arial" w:cs="Arial"/>
          <w:b/>
          <w:color w:val="006666"/>
          <w:sz w:val="24"/>
          <w:szCs w:val="24"/>
        </w:rPr>
        <w:t xml:space="preserve"> </w:t>
      </w:r>
      <w:r w:rsidRPr="007658F0">
        <w:rPr>
          <w:rFonts w:ascii="Arial" w:hAnsi="Arial" w:cs="Arial"/>
          <w:sz w:val="20"/>
          <w:szCs w:val="20"/>
          <w:highlight w:val="yellow"/>
        </w:rPr>
        <w:t>Drop</w:t>
      </w:r>
      <w:r>
        <w:rPr>
          <w:rFonts w:ascii="Arial" w:hAnsi="Arial" w:cs="Arial"/>
          <w:sz w:val="20"/>
          <w:szCs w:val="20"/>
          <w:highlight w:val="yellow"/>
        </w:rPr>
        <w:t>s</w:t>
      </w:r>
      <w:r w:rsidRPr="007658F0">
        <w:rPr>
          <w:rFonts w:ascii="Arial" w:hAnsi="Arial" w:cs="Arial"/>
          <w:sz w:val="20"/>
          <w:szCs w:val="20"/>
          <w:highlight w:val="yellow"/>
        </w:rPr>
        <w:t xml:space="preserve"> down with the below </w:t>
      </w:r>
      <w:r w:rsidRPr="007658F0">
        <w:rPr>
          <w:rFonts w:ascii="Arial" w:hAnsi="Arial" w:cs="Arial"/>
          <w:b/>
          <w:sz w:val="24"/>
          <w:szCs w:val="24"/>
        </w:rPr>
        <w:t xml:space="preserve"> </w:t>
      </w:r>
    </w:p>
    <w:p w:rsidR="008D219F" w:rsidRPr="007658F0" w:rsidRDefault="008D219F" w:rsidP="008D219F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 w:rsidRPr="00653B78">
        <w:rPr>
          <w:rFonts w:ascii="Arial" w:hAnsi="Arial" w:cs="Arial"/>
          <w:sz w:val="20"/>
          <w:szCs w:val="20"/>
        </w:rPr>
        <w:t>From 1 July 2019, the cost, per child per day, is $133.50.</w:t>
      </w: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 w:rsidRPr="00653B78">
        <w:rPr>
          <w:rFonts w:ascii="Arial" w:hAnsi="Arial" w:cs="Arial"/>
          <w:sz w:val="20"/>
          <w:szCs w:val="20"/>
        </w:rPr>
        <w:t xml:space="preserve">Please note for families attending Barring Djinang, who live outside the City of Port Phillip, the </w:t>
      </w:r>
      <w:r w:rsidR="00DD4C20">
        <w:rPr>
          <w:rFonts w:ascii="Arial" w:hAnsi="Arial" w:cs="Arial"/>
          <w:sz w:val="20"/>
          <w:szCs w:val="20"/>
        </w:rPr>
        <w:t xml:space="preserve">daily </w:t>
      </w:r>
      <w:r w:rsidRPr="00653B78">
        <w:rPr>
          <w:rFonts w:ascii="Arial" w:hAnsi="Arial" w:cs="Arial"/>
          <w:sz w:val="20"/>
          <w:szCs w:val="20"/>
        </w:rPr>
        <w:t xml:space="preserve">fee is $143.80. </w:t>
      </w: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 w:rsidRPr="00653B78">
        <w:rPr>
          <w:rFonts w:ascii="Arial" w:hAnsi="Arial" w:cs="Arial"/>
          <w:sz w:val="20"/>
          <w:szCs w:val="20"/>
        </w:rPr>
        <w:t xml:space="preserve">Fees are payable a fortnight in advance by direct debit. </w:t>
      </w: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653B78">
        <w:rPr>
          <w:rFonts w:ascii="Arial" w:hAnsi="Arial" w:cs="Arial"/>
          <w:sz w:val="20"/>
          <w:szCs w:val="20"/>
        </w:rPr>
        <w:t xml:space="preserve">amilies </w:t>
      </w:r>
      <w:r>
        <w:rPr>
          <w:rFonts w:ascii="Arial" w:hAnsi="Arial" w:cs="Arial"/>
          <w:sz w:val="20"/>
          <w:szCs w:val="20"/>
        </w:rPr>
        <w:t>may be able to access more affordable early childhood education and care through Government subsidies.</w:t>
      </w:r>
      <w:r w:rsidRPr="00653B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see if you are eligible, m</w:t>
      </w:r>
      <w:r w:rsidRPr="00653B78">
        <w:rPr>
          <w:rFonts w:ascii="Arial" w:hAnsi="Arial" w:cs="Arial"/>
          <w:sz w:val="20"/>
          <w:szCs w:val="20"/>
        </w:rPr>
        <w:t>ore information can be found here:</w:t>
      </w:r>
    </w:p>
    <w:p w:rsidR="008D219F" w:rsidRPr="00653B78" w:rsidRDefault="00EB46BE" w:rsidP="008D219F">
      <w:pPr>
        <w:spacing w:after="0"/>
        <w:rPr>
          <w:rFonts w:ascii="Arial" w:hAnsi="Arial" w:cs="Arial"/>
          <w:sz w:val="20"/>
          <w:szCs w:val="20"/>
        </w:rPr>
      </w:pPr>
      <w:hyperlink r:id="rId10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Child Care Subsidy</w:t>
        </w:r>
      </w:hyperlink>
    </w:p>
    <w:p w:rsidR="008D219F" w:rsidRPr="00653B78" w:rsidRDefault="00EB46BE" w:rsidP="008D219F">
      <w:pPr>
        <w:spacing w:after="0"/>
        <w:rPr>
          <w:rFonts w:ascii="Arial" w:hAnsi="Arial" w:cs="Arial"/>
          <w:color w:val="006666"/>
          <w:sz w:val="20"/>
          <w:szCs w:val="20"/>
        </w:rPr>
      </w:pPr>
      <w:hyperlink r:id="rId11" w:anchor="a2" w:history="1">
        <w:r w:rsidR="008D219F" w:rsidRPr="00653B78">
          <w:rPr>
            <w:rFonts w:ascii="Arial" w:hAnsi="Arial" w:cs="Arial"/>
            <w:color w:val="006666"/>
            <w:sz w:val="20"/>
            <w:szCs w:val="20"/>
            <w:u w:val="single"/>
          </w:rPr>
          <w:t>Additional Child Care Subsidy</w:t>
        </w:r>
      </w:hyperlink>
    </w:p>
    <w:p w:rsidR="008D219F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speak with a</w:t>
      </w:r>
      <w:r w:rsidRPr="007658F0">
        <w:rPr>
          <w:rFonts w:ascii="Arial" w:hAnsi="Arial" w:cs="Arial"/>
          <w:sz w:val="20"/>
          <w:szCs w:val="20"/>
        </w:rPr>
        <w:t xml:space="preserve"> Centre Coordinator for further information and support to </w:t>
      </w:r>
      <w:r w:rsidR="00371B7F" w:rsidRPr="007658F0">
        <w:rPr>
          <w:rFonts w:ascii="Arial" w:hAnsi="Arial" w:cs="Arial"/>
          <w:sz w:val="20"/>
          <w:szCs w:val="20"/>
        </w:rPr>
        <w:t>access</w:t>
      </w:r>
      <w:r w:rsidR="00371B7F">
        <w:rPr>
          <w:rFonts w:ascii="Arial" w:hAnsi="Arial" w:cs="Arial"/>
          <w:sz w:val="20"/>
          <w:szCs w:val="20"/>
        </w:rPr>
        <w:t xml:space="preserve"> </w:t>
      </w:r>
      <w:r w:rsidR="00371B7F" w:rsidRPr="007658F0">
        <w:rPr>
          <w:rFonts w:ascii="Arial" w:hAnsi="Arial" w:cs="Arial"/>
          <w:sz w:val="20"/>
          <w:szCs w:val="20"/>
        </w:rPr>
        <w:t>other</w:t>
      </w:r>
      <w:r w:rsidRPr="007658F0">
        <w:rPr>
          <w:rFonts w:ascii="Arial" w:hAnsi="Arial" w:cs="Arial"/>
          <w:sz w:val="20"/>
          <w:szCs w:val="20"/>
        </w:rPr>
        <w:t xml:space="preserve"> subsidies your family may be entitled to.</w:t>
      </w: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BC0A55" w:rsidRDefault="008D219F" w:rsidP="008D219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207665"/>
          <w:sz w:val="24"/>
          <w:szCs w:val="24"/>
          <w:lang w:eastAsia="en-AU"/>
        </w:rPr>
        <w:t xml:space="preserve">My Family Lounge </w:t>
      </w:r>
      <w:r w:rsidRPr="00653B78">
        <w:rPr>
          <w:rFonts w:ascii="Arial" w:hAnsi="Arial" w:cs="Arial"/>
          <w:b/>
          <w:color w:val="006666"/>
          <w:sz w:val="24"/>
          <w:szCs w:val="24"/>
        </w:rPr>
        <w:t>»</w:t>
      </w:r>
      <w:r w:rsidR="0081361C">
        <w:rPr>
          <w:rFonts w:ascii="Arial" w:hAnsi="Arial" w:cs="Arial"/>
          <w:color w:val="006666"/>
          <w:sz w:val="24"/>
          <w:szCs w:val="24"/>
          <w:highlight w:val="yellow"/>
        </w:rPr>
        <w:t xml:space="preserve"> </w:t>
      </w:r>
      <w:r w:rsidR="0081361C">
        <w:rPr>
          <w:rFonts w:ascii="Arial" w:hAnsi="Arial" w:cs="Arial"/>
          <w:sz w:val="20"/>
          <w:szCs w:val="20"/>
          <w:highlight w:val="yellow"/>
        </w:rPr>
        <w:t xml:space="preserve">drop down with below info and link to </w:t>
      </w:r>
      <w:r w:rsidRPr="00BC0A55">
        <w:rPr>
          <w:rFonts w:ascii="Arial" w:hAnsi="Arial" w:cs="Arial"/>
          <w:sz w:val="20"/>
          <w:szCs w:val="20"/>
          <w:highlight w:val="yellow"/>
        </w:rPr>
        <w:t>MFL page</w:t>
      </w:r>
    </w:p>
    <w:p w:rsidR="0081361C" w:rsidRDefault="0081361C" w:rsidP="008136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>My Family Lounge is an app that connects families to their centre.</w:t>
      </w:r>
    </w:p>
    <w:p w:rsidR="0081361C" w:rsidRDefault="0081361C" w:rsidP="008136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</w:pPr>
    </w:p>
    <w:p w:rsidR="0081361C" w:rsidRDefault="0081361C" w:rsidP="008136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When families have accepted a position in a Council centre, they are required to register in My Family Lounge to complete the centre Enrolment Form. </w:t>
      </w:r>
    </w:p>
    <w:p w:rsidR="0081361C" w:rsidRDefault="0081361C" w:rsidP="008136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</w:pPr>
    </w:p>
    <w:p w:rsidR="0081361C" w:rsidRDefault="0081361C" w:rsidP="008136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n-AU"/>
        </w:rPr>
        <w:t xml:space="preserve">My Family Lounge also has other features, such as booking additional days of attendance. </w:t>
      </w:r>
    </w:p>
    <w:p w:rsidR="0081361C" w:rsidRPr="0081361C" w:rsidRDefault="0081361C" w:rsidP="008D219F">
      <w:pPr>
        <w:spacing w:after="0"/>
        <w:rPr>
          <w:rFonts w:ascii="Arial" w:hAnsi="Arial" w:cs="Arial"/>
          <w:b/>
          <w:color w:val="006666"/>
          <w:sz w:val="20"/>
          <w:szCs w:val="20"/>
        </w:rPr>
      </w:pPr>
    </w:p>
    <w:p w:rsidR="008D219F" w:rsidRPr="00021046" w:rsidRDefault="008D219F" w:rsidP="008D219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6666"/>
          <w:sz w:val="24"/>
          <w:szCs w:val="24"/>
          <w:lang w:eastAsia="en-AU"/>
        </w:rPr>
      </w:pPr>
      <w:r w:rsidRPr="00021046">
        <w:rPr>
          <w:rFonts w:ascii="Arial" w:eastAsia="Times New Roman" w:hAnsi="Arial" w:cs="Arial"/>
          <w:b/>
          <w:color w:val="006666"/>
          <w:sz w:val="24"/>
          <w:szCs w:val="24"/>
          <w:lang w:eastAsia="en-AU"/>
        </w:rPr>
        <w:t>Parent Advisory Groups</w:t>
      </w:r>
    </w:p>
    <w:p w:rsidR="008D219F" w:rsidRDefault="008D219F" w:rsidP="008D21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Each Council Early Childhood Education and Care centre has a </w:t>
      </w:r>
      <w:r>
        <w:rPr>
          <w:rFonts w:ascii="Arial" w:eastAsia="Times New Roman" w:hAnsi="Arial" w:cs="Arial"/>
          <w:sz w:val="20"/>
          <w:szCs w:val="20"/>
          <w:highlight w:val="yellow"/>
          <w:lang w:eastAsia="en-AU"/>
        </w:rPr>
        <w:t>Parent Advisory Group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insert link to PAG page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(PAG). To join a PAG, contact </w:t>
      </w:r>
      <w:proofErr w:type="gramStart"/>
      <w:r w:rsidR="00DD4C20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centre’s</w:t>
      </w:r>
      <w:proofErr w:type="gram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 Coordinator</w:t>
      </w:r>
    </w:p>
    <w:p w:rsidR="008D219F" w:rsidRPr="00021046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371B7F" w:rsidRDefault="008D219F" w:rsidP="008D219F">
      <w:pPr>
        <w:spacing w:after="0"/>
        <w:rPr>
          <w:rFonts w:ascii="Arial" w:hAnsi="Arial" w:cs="Arial"/>
          <w:b/>
          <w:color w:val="006666"/>
          <w:sz w:val="24"/>
          <w:szCs w:val="24"/>
        </w:rPr>
      </w:pPr>
      <w:r>
        <w:rPr>
          <w:rFonts w:ascii="Arial" w:hAnsi="Arial" w:cs="Arial"/>
          <w:b/>
          <w:color w:val="006666"/>
          <w:sz w:val="24"/>
          <w:szCs w:val="24"/>
        </w:rPr>
        <w:t>Regulations and F</w:t>
      </w:r>
      <w:r w:rsidRPr="00653B78">
        <w:rPr>
          <w:rFonts w:ascii="Arial" w:hAnsi="Arial" w:cs="Arial"/>
          <w:b/>
          <w:color w:val="006666"/>
          <w:sz w:val="24"/>
          <w:szCs w:val="24"/>
        </w:rPr>
        <w:t>rameworks »</w:t>
      </w:r>
    </w:p>
    <w:p w:rsidR="008D219F" w:rsidRPr="00653B78" w:rsidRDefault="00EB46BE" w:rsidP="008D219F">
      <w:pPr>
        <w:spacing w:after="0"/>
        <w:rPr>
          <w:rFonts w:ascii="Arial" w:hAnsi="Arial" w:cs="Arial"/>
          <w:color w:val="006666"/>
          <w:sz w:val="20"/>
          <w:szCs w:val="20"/>
        </w:rPr>
      </w:pPr>
      <w:hyperlink r:id="rId12" w:history="1">
        <w:r w:rsidR="008D219F" w:rsidRPr="00653B78">
          <w:rPr>
            <w:rFonts w:ascii="Arial" w:hAnsi="Arial" w:cs="Arial"/>
            <w:color w:val="006666"/>
            <w:sz w:val="20"/>
            <w:szCs w:val="20"/>
            <w:u w:val="single"/>
          </w:rPr>
          <w:t>Child Care Finder</w:t>
        </w:r>
      </w:hyperlink>
    </w:p>
    <w:p w:rsidR="008D219F" w:rsidRPr="00653B78" w:rsidRDefault="00EB46BE" w:rsidP="008D219F">
      <w:pPr>
        <w:spacing w:after="0"/>
        <w:rPr>
          <w:rFonts w:ascii="Arial" w:hAnsi="Arial" w:cs="Arial"/>
          <w:color w:val="006666"/>
          <w:sz w:val="20"/>
          <w:szCs w:val="20"/>
        </w:rPr>
      </w:pPr>
      <w:hyperlink r:id="rId13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Early Years Learning Framework - Being, Belonging, Becoming</w:t>
        </w:r>
      </w:hyperlink>
    </w:p>
    <w:p w:rsidR="008D219F" w:rsidRPr="00653B78" w:rsidRDefault="00EB46BE" w:rsidP="008D219F">
      <w:pPr>
        <w:spacing w:after="0"/>
        <w:rPr>
          <w:rFonts w:ascii="Arial" w:hAnsi="Arial" w:cs="Arial"/>
          <w:color w:val="006666"/>
          <w:sz w:val="20"/>
          <w:szCs w:val="20"/>
        </w:rPr>
      </w:pPr>
      <w:hyperlink r:id="rId14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How to Choose the Best Child Care for my Child</w:t>
        </w:r>
      </w:hyperlink>
    </w:p>
    <w:p w:rsidR="008D219F" w:rsidRPr="00653B78" w:rsidRDefault="00EB46BE" w:rsidP="008D219F">
      <w:pPr>
        <w:spacing w:after="0"/>
        <w:rPr>
          <w:rFonts w:ascii="Arial" w:hAnsi="Arial" w:cs="Arial"/>
          <w:color w:val="006666"/>
          <w:sz w:val="20"/>
          <w:szCs w:val="20"/>
        </w:rPr>
      </w:pPr>
      <w:hyperlink r:id="rId15" w:history="1">
        <w:r w:rsidR="008D219F" w:rsidRPr="00653B78">
          <w:rPr>
            <w:rFonts w:ascii="Arial" w:hAnsi="Arial" w:cs="Arial"/>
            <w:color w:val="006666"/>
            <w:sz w:val="20"/>
            <w:szCs w:val="20"/>
            <w:u w:val="single"/>
          </w:rPr>
          <w:t>National Registers</w:t>
        </w:r>
      </w:hyperlink>
    </w:p>
    <w:p w:rsidR="008D219F" w:rsidRPr="00653B78" w:rsidRDefault="00EB46BE" w:rsidP="008D219F">
      <w:pPr>
        <w:spacing w:after="0"/>
        <w:rPr>
          <w:rFonts w:ascii="Arial" w:hAnsi="Arial" w:cs="Arial"/>
          <w:color w:val="006666"/>
          <w:sz w:val="20"/>
          <w:szCs w:val="20"/>
        </w:rPr>
      </w:pPr>
      <w:hyperlink r:id="rId16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National Quality Framework</w:t>
        </w:r>
      </w:hyperlink>
    </w:p>
    <w:p w:rsidR="008D219F" w:rsidRPr="00653B78" w:rsidRDefault="00EB46BE" w:rsidP="008D219F">
      <w:pPr>
        <w:spacing w:after="0"/>
        <w:rPr>
          <w:rFonts w:ascii="Arial" w:hAnsi="Arial" w:cs="Arial"/>
          <w:color w:val="006666"/>
          <w:sz w:val="20"/>
          <w:szCs w:val="20"/>
        </w:rPr>
      </w:pPr>
      <w:hyperlink r:id="rId17" w:history="1">
        <w:r w:rsidR="008D219F" w:rsidRPr="00653B78">
          <w:rPr>
            <w:rStyle w:val="Hyperlink"/>
            <w:rFonts w:ascii="Arial" w:hAnsi="Arial" w:cs="Arial"/>
            <w:color w:val="006666"/>
            <w:sz w:val="20"/>
            <w:szCs w:val="20"/>
          </w:rPr>
          <w:t>Victorian Early Years Learning and Development Framework</w:t>
        </w:r>
      </w:hyperlink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8D219F" w:rsidRPr="00653B78" w:rsidRDefault="008D219F" w:rsidP="008D219F">
      <w:pPr>
        <w:spacing w:after="0"/>
        <w:rPr>
          <w:rFonts w:ascii="Arial" w:hAnsi="Arial" w:cs="Arial"/>
          <w:sz w:val="20"/>
          <w:szCs w:val="20"/>
        </w:rPr>
      </w:pPr>
    </w:p>
    <w:p w:rsidR="00911B86" w:rsidRPr="008D219F" w:rsidRDefault="00EB46BE" w:rsidP="009819A2">
      <w:pPr>
        <w:spacing w:after="0"/>
      </w:pPr>
      <w:r>
        <w:rPr>
          <w:rFonts w:ascii="Arial" w:hAnsi="Arial" w:cs="Arial"/>
          <w:b/>
          <w:color w:val="006666"/>
          <w:sz w:val="20"/>
          <w:szCs w:val="20"/>
        </w:rPr>
        <w:t>Register</w:t>
      </w:r>
      <w:r w:rsidR="008D219F" w:rsidRPr="00653B78">
        <w:rPr>
          <w:rFonts w:ascii="Arial" w:hAnsi="Arial" w:cs="Arial"/>
          <w:b/>
          <w:color w:val="006666"/>
          <w:sz w:val="20"/>
          <w:szCs w:val="20"/>
        </w:rPr>
        <w:t xml:space="preserve"> for child care here:</w:t>
      </w:r>
      <w:r w:rsidR="008D219F" w:rsidRPr="00653B78">
        <w:rPr>
          <w:rFonts w:ascii="Arial" w:hAnsi="Arial" w:cs="Arial"/>
          <w:color w:val="006666"/>
          <w:sz w:val="20"/>
          <w:szCs w:val="20"/>
        </w:rPr>
        <w:t xml:space="preserve"> </w:t>
      </w:r>
      <w:r w:rsidR="008D219F" w:rsidRPr="007658F0">
        <w:rPr>
          <w:rFonts w:ascii="Arial" w:hAnsi="Arial" w:cs="Arial"/>
          <w:sz w:val="20"/>
          <w:szCs w:val="20"/>
          <w:highlight w:val="yellow"/>
        </w:rPr>
        <w:t>link</w:t>
      </w:r>
      <w:r w:rsidR="008D219F">
        <w:rPr>
          <w:rFonts w:ascii="Arial" w:hAnsi="Arial" w:cs="Arial"/>
          <w:sz w:val="20"/>
          <w:szCs w:val="20"/>
          <w:highlight w:val="yellow"/>
        </w:rPr>
        <w:t>s</w:t>
      </w:r>
      <w:r w:rsidR="008D219F" w:rsidRPr="007658F0">
        <w:rPr>
          <w:rFonts w:ascii="Arial" w:hAnsi="Arial" w:cs="Arial"/>
          <w:sz w:val="20"/>
          <w:szCs w:val="20"/>
          <w:highlight w:val="yellow"/>
        </w:rPr>
        <w:t xml:space="preserve"> to CSWL p</w:t>
      </w:r>
      <w:r>
        <w:rPr>
          <w:rFonts w:ascii="Arial" w:hAnsi="Arial" w:cs="Arial"/>
          <w:sz w:val="20"/>
          <w:szCs w:val="20"/>
          <w:highlight w:val="yellow"/>
        </w:rPr>
        <w:t>age</w:t>
      </w:r>
      <w:bookmarkStart w:id="0" w:name="_GoBack"/>
      <w:bookmarkEnd w:id="0"/>
    </w:p>
    <w:sectPr w:rsidR="00911B86" w:rsidRPr="008D219F" w:rsidSect="00A70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E763F"/>
    <w:multiLevelType w:val="hybridMultilevel"/>
    <w:tmpl w:val="447CD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45D3E"/>
    <w:multiLevelType w:val="multilevel"/>
    <w:tmpl w:val="9E6E7D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39"/>
    <w:rsid w:val="00010163"/>
    <w:rsid w:val="000D164F"/>
    <w:rsid w:val="00227EBC"/>
    <w:rsid w:val="002523C5"/>
    <w:rsid w:val="002F4F39"/>
    <w:rsid w:val="00371B7F"/>
    <w:rsid w:val="003F17D2"/>
    <w:rsid w:val="00445E88"/>
    <w:rsid w:val="004F3CF9"/>
    <w:rsid w:val="005C6068"/>
    <w:rsid w:val="006510A1"/>
    <w:rsid w:val="00653B78"/>
    <w:rsid w:val="00655EF9"/>
    <w:rsid w:val="007658F0"/>
    <w:rsid w:val="0081361C"/>
    <w:rsid w:val="00874486"/>
    <w:rsid w:val="008A4678"/>
    <w:rsid w:val="008D219F"/>
    <w:rsid w:val="008E2931"/>
    <w:rsid w:val="00911B86"/>
    <w:rsid w:val="009663DE"/>
    <w:rsid w:val="009819A2"/>
    <w:rsid w:val="009F28A4"/>
    <w:rsid w:val="00AF62F2"/>
    <w:rsid w:val="00B90CFE"/>
    <w:rsid w:val="00C058F5"/>
    <w:rsid w:val="00C7566D"/>
    <w:rsid w:val="00DC6D4F"/>
    <w:rsid w:val="00DD4C20"/>
    <w:rsid w:val="00E11DFD"/>
    <w:rsid w:val="00E9654B"/>
    <w:rsid w:val="00EA7264"/>
    <w:rsid w:val="00EB46BE"/>
    <w:rsid w:val="00F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D3D5"/>
  <w15:chartTrackingRefBased/>
  <w15:docId w15:val="{C5BD449E-1754-4291-A7ED-C895A80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2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1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66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5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phillip.vic.gov.au/nth-stkilda-childrens-centre.htm" TargetMode="External"/><Relationship Id="rId13" Type="http://schemas.openxmlformats.org/officeDocument/2006/relationships/hyperlink" Target="https://www.acecqa.gov.au/sites/default/files/2018-02/belonging_being_and_becoming_the_early_years_learning_framework_for_australi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phillip.vic.gov.au/coventry-childrens-centre.htm" TargetMode="External"/><Relationship Id="rId12" Type="http://schemas.openxmlformats.org/officeDocument/2006/relationships/hyperlink" Target="https://www.childcarefinder.gov.au/" TargetMode="External"/><Relationship Id="rId17" Type="http://schemas.openxmlformats.org/officeDocument/2006/relationships/hyperlink" Target="https://www.education.vic.gov.au/childhood/professionals/learning/Pages/veyldf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ecqa.gov.au/national-quality-framew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rtphillip.vic.gov.au/clark-st-childrens-centre.htm" TargetMode="External"/><Relationship Id="rId11" Type="http://schemas.openxmlformats.org/officeDocument/2006/relationships/hyperlink" Target="https://www.servicesaustralia.gov.au/individuals/subjects/assistance-child-care-fees" TargetMode="External"/><Relationship Id="rId5" Type="http://schemas.openxmlformats.org/officeDocument/2006/relationships/hyperlink" Target="http://www.portphillip.vic.gov.au/stkilda-childrens-centre.htm" TargetMode="External"/><Relationship Id="rId15" Type="http://schemas.openxmlformats.org/officeDocument/2006/relationships/hyperlink" Target="https://www.acecqa.gov.au/resources/national-registers" TargetMode="External"/><Relationship Id="rId10" Type="http://schemas.openxmlformats.org/officeDocument/2006/relationships/hyperlink" Target="https://www.humanservices.gov.au/individuals/services/centrelink/child-care-subsid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rtphillip.vic.gov.au/ferrars-st-kindergarten.htm" TargetMode="External"/><Relationship Id="rId14" Type="http://schemas.openxmlformats.org/officeDocument/2006/relationships/hyperlink" Target="https://www.education.vic.gov.au/parents/child-care-kindergarten/Pages/choose-best-child-car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Veber</dc:creator>
  <cp:keywords/>
  <dc:description/>
  <cp:lastModifiedBy>Wendy Veber</cp:lastModifiedBy>
  <cp:revision>11</cp:revision>
  <dcterms:created xsi:type="dcterms:W3CDTF">2020-07-15T04:42:00Z</dcterms:created>
  <dcterms:modified xsi:type="dcterms:W3CDTF">2020-08-04T02:21:00Z</dcterms:modified>
</cp:coreProperties>
</file>