
<file path=[Content_Types].xml><?xml version="1.0" encoding="utf-8"?>
<Types xmlns="http://schemas.openxmlformats.org/package/2006/content-types">
  <Default ContentType="image/png" Extension="png"/>
  <Default ContentType="image/x-emf" Extension="emf"/>
  <Default ContentType="application/vnd.openxmlformats-package.relationships+xml" Extension="rels"/>
  <Default ContentType="application/xml" Extension="xml"/>
  <Default ContentType="image/jpeg" Extension="jpg"/>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3.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5FC819" w14:textId="77777777" w:rsidR="00CE5D54" w:rsidRPr="00050FD6" w:rsidRDefault="008827CF" w:rsidP="0023264A">
      <w:pPr>
        <w:pStyle w:val="TITLE1"/>
        <w:spacing w:before="3628"/>
        <w:ind w:left="454"/>
        <w:rPr>
          <w:color w:val="FFFFFF" w:themeColor="background1"/>
        </w:rPr>
      </w:pPr>
      <w:bookmarkStart w:id="0" w:name="_Toc16760183"/>
      <w:bookmarkStart w:id="1" w:name="_GoBack"/>
      <w:bookmarkEnd w:id="1"/>
      <w:r>
        <w:rPr>
          <w:color w:val="FFFFFF" w:themeColor="background1"/>
        </w:rPr>
        <w:t>Community Funding Policy</w:t>
      </w:r>
      <w:bookmarkEnd w:id="0"/>
    </w:p>
    <w:p w14:paraId="028C6B1C" w14:textId="77777777" w:rsidR="00CF0BD5" w:rsidRPr="00270097" w:rsidRDefault="00CF0BD5" w:rsidP="00E2401E">
      <w:pPr>
        <w:tabs>
          <w:tab w:val="clear" w:pos="-3060"/>
          <w:tab w:val="clear" w:pos="-2340"/>
          <w:tab w:val="clear" w:pos="6300"/>
        </w:tabs>
        <w:suppressAutoHyphens w:val="0"/>
        <w:spacing w:after="160" w:line="259" w:lineRule="auto"/>
        <w:rPr>
          <w:rFonts w:eastAsia="Calibri"/>
          <w:i/>
          <w:color w:val="FFFFFF" w:themeColor="background1"/>
          <w:sz w:val="18"/>
          <w:szCs w:val="18"/>
          <w:lang w:eastAsia="en-US"/>
        </w:rPr>
      </w:pPr>
    </w:p>
    <w:p w14:paraId="5FF5C6BE" w14:textId="77777777" w:rsidR="0023264A" w:rsidRDefault="008019B6" w:rsidP="0023264A">
      <w:pPr>
        <w:pStyle w:val="Heading1"/>
      </w:pPr>
      <w:r>
        <w:br w:type="page"/>
      </w:r>
    </w:p>
    <w:bookmarkStart w:id="2" w:name="_Toc16760184" w:displacedByCustomXml="next"/>
    <w:sdt>
      <w:sdtPr>
        <w:rPr>
          <w:b w:val="0"/>
          <w:bCs w:val="0"/>
          <w:noProof/>
          <w:color w:val="000000" w:themeColor="text1"/>
          <w:kern w:val="0"/>
          <w:sz w:val="22"/>
          <w:szCs w:val="22"/>
          <w:lang w:val="en-AU"/>
        </w:rPr>
        <w:id w:val="1929302081"/>
        <w:docPartObj>
          <w:docPartGallery w:val="Table of Contents"/>
          <w:docPartUnique/>
        </w:docPartObj>
      </w:sdtPr>
      <w:sdtEndPr/>
      <w:sdtContent>
        <w:p w14:paraId="20EAA010" w14:textId="269BD67F" w:rsidR="009F00A3" w:rsidRDefault="00E1386C" w:rsidP="009F00A3">
          <w:pPr>
            <w:pStyle w:val="Heading2"/>
            <w:numPr>
              <w:ilvl w:val="0"/>
              <w:numId w:val="0"/>
            </w:numPr>
            <w:ind w:left="360" w:hanging="360"/>
            <w:rPr>
              <w:rFonts w:asciiTheme="minorHAnsi" w:eastAsiaTheme="minorEastAsia" w:hAnsiTheme="minorHAnsi" w:cstheme="minorBidi"/>
              <w:noProof/>
              <w:color w:val="auto"/>
            </w:rPr>
          </w:pPr>
          <w:r w:rsidRPr="003F0FCA">
            <w:rPr>
              <w:rFonts w:eastAsiaTheme="majorEastAsia"/>
            </w:rPr>
            <w:t>Contents</w:t>
          </w:r>
          <w:bookmarkEnd w:id="2"/>
          <w:r>
            <w:rPr>
              <w:b w:val="0"/>
              <w:bCs w:val="0"/>
            </w:rPr>
            <w:fldChar w:fldCharType="begin"/>
          </w:r>
          <w:r>
            <w:instrText xml:space="preserve"> TOC \o "1-3" \h \z \u </w:instrText>
          </w:r>
          <w:r>
            <w:rPr>
              <w:b w:val="0"/>
              <w:bCs w:val="0"/>
            </w:rPr>
            <w:fldChar w:fldCharType="separate"/>
          </w:r>
        </w:p>
        <w:p w14:paraId="640B4919" w14:textId="23E8EA63" w:rsidR="009F00A3" w:rsidRDefault="00447115">
          <w:pPr>
            <w:pStyle w:val="TOC2"/>
            <w:tabs>
              <w:tab w:val="left" w:pos="660"/>
              <w:tab w:val="right" w:pos="9628"/>
            </w:tabs>
            <w:rPr>
              <w:rFonts w:asciiTheme="minorHAnsi" w:eastAsiaTheme="minorEastAsia" w:hAnsiTheme="minorHAnsi" w:cstheme="minorBidi"/>
              <w:color w:val="auto"/>
            </w:rPr>
          </w:pPr>
          <w:hyperlink w:anchor="_Toc16760185" w:history="1">
            <w:r w:rsidR="009F00A3" w:rsidRPr="00BD2030">
              <w:rPr>
                <w:rStyle w:val="Hyperlink"/>
              </w:rPr>
              <w:t>1.</w:t>
            </w:r>
            <w:r w:rsidR="009F00A3">
              <w:rPr>
                <w:rFonts w:asciiTheme="minorHAnsi" w:eastAsiaTheme="minorEastAsia" w:hAnsiTheme="minorHAnsi" w:cstheme="minorBidi"/>
                <w:color w:val="auto"/>
              </w:rPr>
              <w:tab/>
            </w:r>
            <w:r w:rsidR="009F00A3" w:rsidRPr="00BD2030">
              <w:rPr>
                <w:rStyle w:val="Hyperlink"/>
              </w:rPr>
              <w:t>Purpose</w:t>
            </w:r>
            <w:r w:rsidR="009F00A3">
              <w:rPr>
                <w:webHidden/>
              </w:rPr>
              <w:tab/>
            </w:r>
            <w:r w:rsidR="009F00A3">
              <w:rPr>
                <w:webHidden/>
              </w:rPr>
              <w:fldChar w:fldCharType="begin"/>
            </w:r>
            <w:r w:rsidR="009F00A3">
              <w:rPr>
                <w:webHidden/>
              </w:rPr>
              <w:instrText xml:space="preserve"> PAGEREF _Toc16760185 \h </w:instrText>
            </w:r>
            <w:r w:rsidR="009F00A3">
              <w:rPr>
                <w:webHidden/>
              </w:rPr>
            </w:r>
            <w:r w:rsidR="009F00A3">
              <w:rPr>
                <w:webHidden/>
              </w:rPr>
              <w:fldChar w:fldCharType="separate"/>
            </w:r>
            <w:r>
              <w:rPr>
                <w:webHidden/>
              </w:rPr>
              <w:t>3</w:t>
            </w:r>
            <w:r w:rsidR="009F00A3">
              <w:rPr>
                <w:webHidden/>
              </w:rPr>
              <w:fldChar w:fldCharType="end"/>
            </w:r>
          </w:hyperlink>
        </w:p>
        <w:p w14:paraId="20002245" w14:textId="21A6BDB3" w:rsidR="009F00A3" w:rsidRDefault="00447115">
          <w:pPr>
            <w:pStyle w:val="TOC2"/>
            <w:tabs>
              <w:tab w:val="left" w:pos="660"/>
              <w:tab w:val="right" w:pos="9628"/>
            </w:tabs>
            <w:rPr>
              <w:rFonts w:asciiTheme="minorHAnsi" w:eastAsiaTheme="minorEastAsia" w:hAnsiTheme="minorHAnsi" w:cstheme="minorBidi"/>
              <w:color w:val="auto"/>
            </w:rPr>
          </w:pPr>
          <w:hyperlink w:anchor="_Toc16760186" w:history="1">
            <w:r w:rsidR="009F00A3" w:rsidRPr="00BD2030">
              <w:rPr>
                <w:rStyle w:val="Hyperlink"/>
                <w:rFonts w:ascii="Gill Sans MT" w:eastAsiaTheme="majorEastAsia" w:hAnsi="Gill Sans MT"/>
              </w:rPr>
              <w:t>2.</w:t>
            </w:r>
            <w:r w:rsidR="009F00A3">
              <w:rPr>
                <w:rFonts w:asciiTheme="minorHAnsi" w:eastAsiaTheme="minorEastAsia" w:hAnsiTheme="minorHAnsi" w:cstheme="minorBidi"/>
                <w:color w:val="auto"/>
              </w:rPr>
              <w:tab/>
            </w:r>
            <w:r w:rsidR="009F00A3" w:rsidRPr="00BD2030">
              <w:rPr>
                <w:rStyle w:val="Hyperlink"/>
              </w:rPr>
              <w:t>Policy context</w:t>
            </w:r>
            <w:r w:rsidR="009F00A3">
              <w:rPr>
                <w:webHidden/>
              </w:rPr>
              <w:tab/>
            </w:r>
            <w:r w:rsidR="009F00A3">
              <w:rPr>
                <w:webHidden/>
              </w:rPr>
              <w:fldChar w:fldCharType="begin"/>
            </w:r>
            <w:r w:rsidR="009F00A3">
              <w:rPr>
                <w:webHidden/>
              </w:rPr>
              <w:instrText xml:space="preserve"> PAGEREF _Toc16760186 \h </w:instrText>
            </w:r>
            <w:r w:rsidR="009F00A3">
              <w:rPr>
                <w:webHidden/>
              </w:rPr>
            </w:r>
            <w:r w:rsidR="009F00A3">
              <w:rPr>
                <w:webHidden/>
              </w:rPr>
              <w:fldChar w:fldCharType="separate"/>
            </w:r>
            <w:r>
              <w:rPr>
                <w:webHidden/>
              </w:rPr>
              <w:t>3</w:t>
            </w:r>
            <w:r w:rsidR="009F00A3">
              <w:rPr>
                <w:webHidden/>
              </w:rPr>
              <w:fldChar w:fldCharType="end"/>
            </w:r>
          </w:hyperlink>
        </w:p>
        <w:p w14:paraId="402F70E8" w14:textId="15299998" w:rsidR="009F00A3" w:rsidRDefault="00447115">
          <w:pPr>
            <w:pStyle w:val="TOC2"/>
            <w:tabs>
              <w:tab w:val="left" w:pos="660"/>
              <w:tab w:val="right" w:pos="9628"/>
            </w:tabs>
            <w:rPr>
              <w:rFonts w:asciiTheme="minorHAnsi" w:eastAsiaTheme="minorEastAsia" w:hAnsiTheme="minorHAnsi" w:cstheme="minorBidi"/>
              <w:color w:val="auto"/>
            </w:rPr>
          </w:pPr>
          <w:hyperlink w:anchor="_Toc16760187" w:history="1">
            <w:r w:rsidR="009F00A3" w:rsidRPr="00BD2030">
              <w:rPr>
                <w:rStyle w:val="Hyperlink"/>
                <w:rFonts w:ascii="Gill Sans MT" w:hAnsi="Gill Sans MT"/>
                <w:lang w:eastAsia="en-US"/>
              </w:rPr>
              <w:t>3.</w:t>
            </w:r>
            <w:r w:rsidR="009F00A3">
              <w:rPr>
                <w:rFonts w:asciiTheme="minorHAnsi" w:eastAsiaTheme="minorEastAsia" w:hAnsiTheme="minorHAnsi" w:cstheme="minorBidi"/>
                <w:color w:val="auto"/>
              </w:rPr>
              <w:tab/>
            </w:r>
            <w:r w:rsidR="009F00A3" w:rsidRPr="00BD2030">
              <w:rPr>
                <w:rStyle w:val="Hyperlink"/>
              </w:rPr>
              <w:t>Guiding principles</w:t>
            </w:r>
            <w:r w:rsidR="009F00A3">
              <w:rPr>
                <w:webHidden/>
              </w:rPr>
              <w:tab/>
            </w:r>
            <w:r w:rsidR="009F00A3">
              <w:rPr>
                <w:webHidden/>
              </w:rPr>
              <w:fldChar w:fldCharType="begin"/>
            </w:r>
            <w:r w:rsidR="009F00A3">
              <w:rPr>
                <w:webHidden/>
              </w:rPr>
              <w:instrText xml:space="preserve"> PAGEREF _Toc16760187 \h </w:instrText>
            </w:r>
            <w:r w:rsidR="009F00A3">
              <w:rPr>
                <w:webHidden/>
              </w:rPr>
            </w:r>
            <w:r w:rsidR="009F00A3">
              <w:rPr>
                <w:webHidden/>
              </w:rPr>
              <w:fldChar w:fldCharType="separate"/>
            </w:r>
            <w:r>
              <w:rPr>
                <w:webHidden/>
              </w:rPr>
              <w:t>5</w:t>
            </w:r>
            <w:r w:rsidR="009F00A3">
              <w:rPr>
                <w:webHidden/>
              </w:rPr>
              <w:fldChar w:fldCharType="end"/>
            </w:r>
          </w:hyperlink>
        </w:p>
        <w:p w14:paraId="770B44D3" w14:textId="61522DD8" w:rsidR="009F00A3" w:rsidRDefault="00447115">
          <w:pPr>
            <w:pStyle w:val="TOC2"/>
            <w:tabs>
              <w:tab w:val="left" w:pos="660"/>
              <w:tab w:val="right" w:pos="9628"/>
            </w:tabs>
            <w:rPr>
              <w:rFonts w:asciiTheme="minorHAnsi" w:eastAsiaTheme="minorEastAsia" w:hAnsiTheme="minorHAnsi" w:cstheme="minorBidi"/>
              <w:color w:val="auto"/>
            </w:rPr>
          </w:pPr>
          <w:hyperlink w:anchor="_Toc16760188" w:history="1">
            <w:r w:rsidR="009F00A3" w:rsidRPr="00BD2030">
              <w:rPr>
                <w:rStyle w:val="Hyperlink"/>
              </w:rPr>
              <w:t>4.</w:t>
            </w:r>
            <w:r w:rsidR="009F00A3">
              <w:rPr>
                <w:rFonts w:asciiTheme="minorHAnsi" w:eastAsiaTheme="minorEastAsia" w:hAnsiTheme="minorHAnsi" w:cstheme="minorBidi"/>
                <w:color w:val="auto"/>
              </w:rPr>
              <w:tab/>
            </w:r>
            <w:r w:rsidR="009F00A3" w:rsidRPr="00BD2030">
              <w:rPr>
                <w:rStyle w:val="Hyperlink"/>
              </w:rPr>
              <w:t>Definitions</w:t>
            </w:r>
            <w:r w:rsidR="009F00A3">
              <w:rPr>
                <w:webHidden/>
              </w:rPr>
              <w:tab/>
            </w:r>
            <w:r w:rsidR="009F00A3">
              <w:rPr>
                <w:webHidden/>
              </w:rPr>
              <w:fldChar w:fldCharType="begin"/>
            </w:r>
            <w:r w:rsidR="009F00A3">
              <w:rPr>
                <w:webHidden/>
              </w:rPr>
              <w:instrText xml:space="preserve"> PAGEREF _Toc16760188 \h </w:instrText>
            </w:r>
            <w:r w:rsidR="009F00A3">
              <w:rPr>
                <w:webHidden/>
              </w:rPr>
            </w:r>
            <w:r w:rsidR="009F00A3">
              <w:rPr>
                <w:webHidden/>
              </w:rPr>
              <w:fldChar w:fldCharType="separate"/>
            </w:r>
            <w:r>
              <w:rPr>
                <w:webHidden/>
              </w:rPr>
              <w:t>6</w:t>
            </w:r>
            <w:r w:rsidR="009F00A3">
              <w:rPr>
                <w:webHidden/>
              </w:rPr>
              <w:fldChar w:fldCharType="end"/>
            </w:r>
          </w:hyperlink>
        </w:p>
        <w:p w14:paraId="065C5CF9" w14:textId="31A53DD5" w:rsidR="009F00A3" w:rsidRDefault="00447115">
          <w:pPr>
            <w:pStyle w:val="TOC2"/>
            <w:tabs>
              <w:tab w:val="left" w:pos="660"/>
              <w:tab w:val="right" w:pos="9628"/>
            </w:tabs>
            <w:rPr>
              <w:rFonts w:asciiTheme="minorHAnsi" w:eastAsiaTheme="minorEastAsia" w:hAnsiTheme="minorHAnsi" w:cstheme="minorBidi"/>
              <w:color w:val="auto"/>
            </w:rPr>
          </w:pPr>
          <w:hyperlink w:anchor="_Toc16760189" w:history="1">
            <w:r w:rsidR="009F00A3" w:rsidRPr="00BD2030">
              <w:rPr>
                <w:rStyle w:val="Hyperlink"/>
                <w:rFonts w:ascii="Gill Sans MT" w:hAnsi="Gill Sans MT"/>
                <w:lang w:eastAsia="en-US"/>
              </w:rPr>
              <w:t>5.</w:t>
            </w:r>
            <w:r w:rsidR="009F00A3">
              <w:rPr>
                <w:rFonts w:asciiTheme="minorHAnsi" w:eastAsiaTheme="minorEastAsia" w:hAnsiTheme="minorHAnsi" w:cstheme="minorBidi"/>
                <w:color w:val="auto"/>
              </w:rPr>
              <w:tab/>
            </w:r>
            <w:r w:rsidR="009F00A3" w:rsidRPr="00BD2030">
              <w:rPr>
                <w:rStyle w:val="Hyperlink"/>
              </w:rPr>
              <w:t>Scope</w:t>
            </w:r>
            <w:r w:rsidR="009F00A3">
              <w:rPr>
                <w:webHidden/>
              </w:rPr>
              <w:tab/>
            </w:r>
            <w:r w:rsidR="009F00A3">
              <w:rPr>
                <w:webHidden/>
              </w:rPr>
              <w:fldChar w:fldCharType="begin"/>
            </w:r>
            <w:r w:rsidR="009F00A3">
              <w:rPr>
                <w:webHidden/>
              </w:rPr>
              <w:instrText xml:space="preserve"> PAGEREF _Toc16760189 \h </w:instrText>
            </w:r>
            <w:r w:rsidR="009F00A3">
              <w:rPr>
                <w:webHidden/>
              </w:rPr>
            </w:r>
            <w:r w:rsidR="009F00A3">
              <w:rPr>
                <w:webHidden/>
              </w:rPr>
              <w:fldChar w:fldCharType="separate"/>
            </w:r>
            <w:r>
              <w:rPr>
                <w:webHidden/>
              </w:rPr>
              <w:t>8</w:t>
            </w:r>
            <w:r w:rsidR="009F00A3">
              <w:rPr>
                <w:webHidden/>
              </w:rPr>
              <w:fldChar w:fldCharType="end"/>
            </w:r>
          </w:hyperlink>
        </w:p>
        <w:p w14:paraId="20677BEC" w14:textId="6324A466" w:rsidR="009F00A3" w:rsidRDefault="00447115">
          <w:pPr>
            <w:pStyle w:val="TOC2"/>
            <w:tabs>
              <w:tab w:val="left" w:pos="660"/>
              <w:tab w:val="right" w:pos="9628"/>
            </w:tabs>
            <w:rPr>
              <w:rFonts w:asciiTheme="minorHAnsi" w:eastAsiaTheme="minorEastAsia" w:hAnsiTheme="minorHAnsi" w:cstheme="minorBidi"/>
              <w:color w:val="auto"/>
            </w:rPr>
          </w:pPr>
          <w:hyperlink w:anchor="_Toc16760190" w:history="1">
            <w:r w:rsidR="009F00A3" w:rsidRPr="00BD2030">
              <w:rPr>
                <w:rStyle w:val="Hyperlink"/>
                <w:rFonts w:ascii="Gill Sans MT" w:hAnsi="Gill Sans MT"/>
                <w:lang w:eastAsia="en-US"/>
              </w:rPr>
              <w:t>6.</w:t>
            </w:r>
            <w:r w:rsidR="009F00A3">
              <w:rPr>
                <w:rFonts w:asciiTheme="minorHAnsi" w:eastAsiaTheme="minorEastAsia" w:hAnsiTheme="minorHAnsi" w:cstheme="minorBidi"/>
                <w:color w:val="auto"/>
              </w:rPr>
              <w:tab/>
            </w:r>
            <w:r w:rsidR="009F00A3" w:rsidRPr="00BD2030">
              <w:rPr>
                <w:rStyle w:val="Hyperlink"/>
              </w:rPr>
              <w:t>Policy statement</w:t>
            </w:r>
            <w:r w:rsidR="009F00A3">
              <w:rPr>
                <w:webHidden/>
              </w:rPr>
              <w:tab/>
            </w:r>
            <w:r w:rsidR="009F00A3">
              <w:rPr>
                <w:webHidden/>
              </w:rPr>
              <w:fldChar w:fldCharType="begin"/>
            </w:r>
            <w:r w:rsidR="009F00A3">
              <w:rPr>
                <w:webHidden/>
              </w:rPr>
              <w:instrText xml:space="preserve"> PAGEREF _Toc16760190 \h </w:instrText>
            </w:r>
            <w:r w:rsidR="009F00A3">
              <w:rPr>
                <w:webHidden/>
              </w:rPr>
            </w:r>
            <w:r w:rsidR="009F00A3">
              <w:rPr>
                <w:webHidden/>
              </w:rPr>
              <w:fldChar w:fldCharType="separate"/>
            </w:r>
            <w:r>
              <w:rPr>
                <w:webHidden/>
              </w:rPr>
              <w:t>8</w:t>
            </w:r>
            <w:r w:rsidR="009F00A3">
              <w:rPr>
                <w:webHidden/>
              </w:rPr>
              <w:fldChar w:fldCharType="end"/>
            </w:r>
          </w:hyperlink>
        </w:p>
        <w:p w14:paraId="3D09E0CE" w14:textId="64DE3673" w:rsidR="009F00A3" w:rsidRDefault="00447115">
          <w:pPr>
            <w:pStyle w:val="TOC2"/>
            <w:tabs>
              <w:tab w:val="left" w:pos="660"/>
              <w:tab w:val="right" w:pos="9628"/>
            </w:tabs>
            <w:rPr>
              <w:rFonts w:asciiTheme="minorHAnsi" w:eastAsiaTheme="minorEastAsia" w:hAnsiTheme="minorHAnsi" w:cstheme="minorBidi"/>
              <w:color w:val="auto"/>
            </w:rPr>
          </w:pPr>
          <w:hyperlink w:anchor="_Toc16760191" w:history="1">
            <w:r w:rsidR="009F00A3" w:rsidRPr="00BD2030">
              <w:rPr>
                <w:rStyle w:val="Hyperlink"/>
              </w:rPr>
              <w:t>7.</w:t>
            </w:r>
            <w:r w:rsidR="009F00A3">
              <w:rPr>
                <w:rFonts w:asciiTheme="minorHAnsi" w:eastAsiaTheme="minorEastAsia" w:hAnsiTheme="minorHAnsi" w:cstheme="minorBidi"/>
                <w:color w:val="auto"/>
              </w:rPr>
              <w:tab/>
            </w:r>
            <w:r w:rsidR="009F00A3" w:rsidRPr="00BD2030">
              <w:rPr>
                <w:rStyle w:val="Hyperlink"/>
              </w:rPr>
              <w:t>Funding management framework</w:t>
            </w:r>
            <w:r w:rsidR="009F00A3">
              <w:rPr>
                <w:webHidden/>
              </w:rPr>
              <w:tab/>
            </w:r>
            <w:r w:rsidR="009F00A3">
              <w:rPr>
                <w:webHidden/>
              </w:rPr>
              <w:fldChar w:fldCharType="begin"/>
            </w:r>
            <w:r w:rsidR="009F00A3">
              <w:rPr>
                <w:webHidden/>
              </w:rPr>
              <w:instrText xml:space="preserve"> PAGEREF _Toc16760191 \h </w:instrText>
            </w:r>
            <w:r w:rsidR="009F00A3">
              <w:rPr>
                <w:webHidden/>
              </w:rPr>
            </w:r>
            <w:r w:rsidR="009F00A3">
              <w:rPr>
                <w:webHidden/>
              </w:rPr>
              <w:fldChar w:fldCharType="separate"/>
            </w:r>
            <w:r>
              <w:rPr>
                <w:webHidden/>
              </w:rPr>
              <w:t>9</w:t>
            </w:r>
            <w:r w:rsidR="009F00A3">
              <w:rPr>
                <w:webHidden/>
              </w:rPr>
              <w:fldChar w:fldCharType="end"/>
            </w:r>
          </w:hyperlink>
        </w:p>
        <w:p w14:paraId="3F021108" w14:textId="0FF986B7" w:rsidR="009F00A3" w:rsidRDefault="00447115">
          <w:pPr>
            <w:pStyle w:val="TOC3"/>
            <w:tabs>
              <w:tab w:val="right" w:pos="9628"/>
            </w:tabs>
            <w:rPr>
              <w:rFonts w:asciiTheme="minorHAnsi" w:eastAsiaTheme="minorEastAsia" w:hAnsiTheme="minorHAnsi" w:cstheme="minorBidi"/>
              <w:color w:val="auto"/>
            </w:rPr>
          </w:pPr>
          <w:hyperlink w:anchor="_Toc16760192" w:history="1">
            <w:r w:rsidR="009F00A3" w:rsidRPr="00BD2030">
              <w:rPr>
                <w:rStyle w:val="Hyperlink"/>
              </w:rPr>
              <w:t>Community Investment Funding Model</w:t>
            </w:r>
            <w:r w:rsidR="009F00A3">
              <w:rPr>
                <w:webHidden/>
              </w:rPr>
              <w:tab/>
            </w:r>
            <w:r w:rsidR="009F00A3">
              <w:rPr>
                <w:webHidden/>
              </w:rPr>
              <w:fldChar w:fldCharType="begin"/>
            </w:r>
            <w:r w:rsidR="009F00A3">
              <w:rPr>
                <w:webHidden/>
              </w:rPr>
              <w:instrText xml:space="preserve"> PAGEREF _Toc16760192 \h </w:instrText>
            </w:r>
            <w:r w:rsidR="009F00A3">
              <w:rPr>
                <w:webHidden/>
              </w:rPr>
            </w:r>
            <w:r w:rsidR="009F00A3">
              <w:rPr>
                <w:webHidden/>
              </w:rPr>
              <w:fldChar w:fldCharType="separate"/>
            </w:r>
            <w:r>
              <w:rPr>
                <w:webHidden/>
              </w:rPr>
              <w:t>10</w:t>
            </w:r>
            <w:r w:rsidR="009F00A3">
              <w:rPr>
                <w:webHidden/>
              </w:rPr>
              <w:fldChar w:fldCharType="end"/>
            </w:r>
          </w:hyperlink>
        </w:p>
        <w:p w14:paraId="4D5443B6" w14:textId="6BB0F024" w:rsidR="009F00A3" w:rsidRDefault="00447115">
          <w:pPr>
            <w:pStyle w:val="TOC2"/>
            <w:tabs>
              <w:tab w:val="left" w:pos="660"/>
              <w:tab w:val="right" w:pos="9628"/>
            </w:tabs>
            <w:rPr>
              <w:rFonts w:asciiTheme="minorHAnsi" w:eastAsiaTheme="minorEastAsia" w:hAnsiTheme="minorHAnsi" w:cstheme="minorBidi"/>
              <w:color w:val="auto"/>
            </w:rPr>
          </w:pPr>
          <w:hyperlink w:anchor="_Toc16760193" w:history="1">
            <w:r w:rsidR="009F00A3" w:rsidRPr="00BD2030">
              <w:rPr>
                <w:rStyle w:val="Hyperlink"/>
              </w:rPr>
              <w:t>8.</w:t>
            </w:r>
            <w:r w:rsidR="009F00A3">
              <w:rPr>
                <w:rFonts w:asciiTheme="minorHAnsi" w:eastAsiaTheme="minorEastAsia" w:hAnsiTheme="minorHAnsi" w:cstheme="minorBidi"/>
                <w:color w:val="auto"/>
              </w:rPr>
              <w:tab/>
            </w:r>
            <w:r w:rsidR="009F00A3" w:rsidRPr="00BD2030">
              <w:rPr>
                <w:rStyle w:val="Hyperlink"/>
              </w:rPr>
              <w:t>Conflict of interest</w:t>
            </w:r>
            <w:r w:rsidR="009F00A3">
              <w:rPr>
                <w:webHidden/>
              </w:rPr>
              <w:tab/>
            </w:r>
            <w:r w:rsidR="009F00A3">
              <w:rPr>
                <w:webHidden/>
              </w:rPr>
              <w:fldChar w:fldCharType="begin"/>
            </w:r>
            <w:r w:rsidR="009F00A3">
              <w:rPr>
                <w:webHidden/>
              </w:rPr>
              <w:instrText xml:space="preserve"> PAGEREF _Toc16760193 \h </w:instrText>
            </w:r>
            <w:r w:rsidR="009F00A3">
              <w:rPr>
                <w:webHidden/>
              </w:rPr>
            </w:r>
            <w:r w:rsidR="009F00A3">
              <w:rPr>
                <w:webHidden/>
              </w:rPr>
              <w:fldChar w:fldCharType="separate"/>
            </w:r>
            <w:r>
              <w:rPr>
                <w:webHidden/>
              </w:rPr>
              <w:t>11</w:t>
            </w:r>
            <w:r w:rsidR="009F00A3">
              <w:rPr>
                <w:webHidden/>
              </w:rPr>
              <w:fldChar w:fldCharType="end"/>
            </w:r>
          </w:hyperlink>
        </w:p>
        <w:p w14:paraId="34B674DC" w14:textId="1DA9EC94" w:rsidR="009F00A3" w:rsidRDefault="00447115">
          <w:pPr>
            <w:pStyle w:val="TOC2"/>
            <w:tabs>
              <w:tab w:val="left" w:pos="660"/>
              <w:tab w:val="right" w:pos="9628"/>
            </w:tabs>
            <w:rPr>
              <w:rFonts w:asciiTheme="minorHAnsi" w:eastAsiaTheme="minorEastAsia" w:hAnsiTheme="minorHAnsi" w:cstheme="minorBidi"/>
              <w:color w:val="auto"/>
            </w:rPr>
          </w:pPr>
          <w:hyperlink w:anchor="_Toc16760194" w:history="1">
            <w:r w:rsidR="009F00A3" w:rsidRPr="00BD2030">
              <w:rPr>
                <w:rStyle w:val="Hyperlink"/>
                <w:rFonts w:eastAsia="Gill Sans MT"/>
              </w:rPr>
              <w:t>9.</w:t>
            </w:r>
            <w:r w:rsidR="009F00A3">
              <w:rPr>
                <w:rFonts w:asciiTheme="minorHAnsi" w:eastAsiaTheme="minorEastAsia" w:hAnsiTheme="minorHAnsi" w:cstheme="minorBidi"/>
                <w:color w:val="auto"/>
              </w:rPr>
              <w:tab/>
            </w:r>
            <w:r w:rsidR="009F00A3" w:rsidRPr="00BD2030">
              <w:rPr>
                <w:rStyle w:val="Hyperlink"/>
              </w:rPr>
              <w:t>Relevant legislation, policies and other documents</w:t>
            </w:r>
            <w:r w:rsidR="009F00A3">
              <w:rPr>
                <w:webHidden/>
              </w:rPr>
              <w:tab/>
            </w:r>
            <w:r w:rsidR="009F00A3">
              <w:rPr>
                <w:webHidden/>
              </w:rPr>
              <w:fldChar w:fldCharType="begin"/>
            </w:r>
            <w:r w:rsidR="009F00A3">
              <w:rPr>
                <w:webHidden/>
              </w:rPr>
              <w:instrText xml:space="preserve"> PAGEREF _Toc16760194 \h </w:instrText>
            </w:r>
            <w:r w:rsidR="009F00A3">
              <w:rPr>
                <w:webHidden/>
              </w:rPr>
            </w:r>
            <w:r w:rsidR="009F00A3">
              <w:rPr>
                <w:webHidden/>
              </w:rPr>
              <w:fldChar w:fldCharType="separate"/>
            </w:r>
            <w:r>
              <w:rPr>
                <w:webHidden/>
              </w:rPr>
              <w:t>11</w:t>
            </w:r>
            <w:r w:rsidR="009F00A3">
              <w:rPr>
                <w:webHidden/>
              </w:rPr>
              <w:fldChar w:fldCharType="end"/>
            </w:r>
          </w:hyperlink>
        </w:p>
        <w:p w14:paraId="56ADEA4C" w14:textId="21667F2D" w:rsidR="009F00A3" w:rsidRDefault="00447115">
          <w:pPr>
            <w:pStyle w:val="TOC2"/>
            <w:tabs>
              <w:tab w:val="left" w:pos="880"/>
              <w:tab w:val="right" w:pos="9628"/>
            </w:tabs>
            <w:rPr>
              <w:rFonts w:asciiTheme="minorHAnsi" w:eastAsiaTheme="minorEastAsia" w:hAnsiTheme="minorHAnsi" w:cstheme="minorBidi"/>
              <w:color w:val="auto"/>
            </w:rPr>
          </w:pPr>
          <w:hyperlink w:anchor="_Toc16760195" w:history="1">
            <w:r w:rsidR="009F00A3" w:rsidRPr="00BD2030">
              <w:rPr>
                <w:rStyle w:val="Hyperlink"/>
              </w:rPr>
              <w:t>10.</w:t>
            </w:r>
            <w:r w:rsidR="009F00A3">
              <w:rPr>
                <w:rFonts w:asciiTheme="minorHAnsi" w:eastAsiaTheme="minorEastAsia" w:hAnsiTheme="minorHAnsi" w:cstheme="minorBidi"/>
                <w:color w:val="auto"/>
              </w:rPr>
              <w:tab/>
            </w:r>
            <w:r w:rsidR="009F00A3" w:rsidRPr="00BD2030">
              <w:rPr>
                <w:rStyle w:val="Hyperlink"/>
              </w:rPr>
              <w:t>Review and feedback</w:t>
            </w:r>
            <w:r w:rsidR="009F00A3">
              <w:rPr>
                <w:webHidden/>
              </w:rPr>
              <w:tab/>
            </w:r>
            <w:r w:rsidR="009F00A3">
              <w:rPr>
                <w:webHidden/>
              </w:rPr>
              <w:fldChar w:fldCharType="begin"/>
            </w:r>
            <w:r w:rsidR="009F00A3">
              <w:rPr>
                <w:webHidden/>
              </w:rPr>
              <w:instrText xml:space="preserve"> PAGEREF _Toc16760195 \h </w:instrText>
            </w:r>
            <w:r w:rsidR="009F00A3">
              <w:rPr>
                <w:webHidden/>
              </w:rPr>
            </w:r>
            <w:r w:rsidR="009F00A3">
              <w:rPr>
                <w:webHidden/>
              </w:rPr>
              <w:fldChar w:fldCharType="separate"/>
            </w:r>
            <w:r>
              <w:rPr>
                <w:webHidden/>
              </w:rPr>
              <w:t>11</w:t>
            </w:r>
            <w:r w:rsidR="009F00A3">
              <w:rPr>
                <w:webHidden/>
              </w:rPr>
              <w:fldChar w:fldCharType="end"/>
            </w:r>
          </w:hyperlink>
        </w:p>
        <w:p w14:paraId="69023F4C" w14:textId="2C3111B4" w:rsidR="009F00A3" w:rsidRDefault="00447115">
          <w:pPr>
            <w:pStyle w:val="TOC2"/>
            <w:tabs>
              <w:tab w:val="left" w:pos="880"/>
              <w:tab w:val="right" w:pos="9628"/>
            </w:tabs>
            <w:rPr>
              <w:rFonts w:asciiTheme="minorHAnsi" w:eastAsiaTheme="minorEastAsia" w:hAnsiTheme="minorHAnsi" w:cstheme="minorBidi"/>
              <w:color w:val="auto"/>
            </w:rPr>
          </w:pPr>
          <w:hyperlink w:anchor="_Toc16760196" w:history="1">
            <w:r w:rsidR="009F00A3" w:rsidRPr="00BD2030">
              <w:rPr>
                <w:rStyle w:val="Hyperlink"/>
              </w:rPr>
              <w:t>11.</w:t>
            </w:r>
            <w:r w:rsidR="009F00A3">
              <w:rPr>
                <w:rFonts w:asciiTheme="minorHAnsi" w:eastAsiaTheme="minorEastAsia" w:hAnsiTheme="minorHAnsi" w:cstheme="minorBidi"/>
                <w:color w:val="auto"/>
              </w:rPr>
              <w:tab/>
            </w:r>
            <w:r w:rsidR="009F00A3" w:rsidRPr="00BD2030">
              <w:rPr>
                <w:rStyle w:val="Hyperlink"/>
              </w:rPr>
              <w:t>Appendix A</w:t>
            </w:r>
            <w:r w:rsidR="009F00A3">
              <w:rPr>
                <w:webHidden/>
              </w:rPr>
              <w:tab/>
            </w:r>
            <w:r w:rsidR="009F00A3">
              <w:rPr>
                <w:webHidden/>
              </w:rPr>
              <w:fldChar w:fldCharType="begin"/>
            </w:r>
            <w:r w:rsidR="009F00A3">
              <w:rPr>
                <w:webHidden/>
              </w:rPr>
              <w:instrText xml:space="preserve"> PAGEREF _Toc16760196 \h </w:instrText>
            </w:r>
            <w:r w:rsidR="009F00A3">
              <w:rPr>
                <w:webHidden/>
              </w:rPr>
            </w:r>
            <w:r w:rsidR="009F00A3">
              <w:rPr>
                <w:webHidden/>
              </w:rPr>
              <w:fldChar w:fldCharType="separate"/>
            </w:r>
            <w:r>
              <w:rPr>
                <w:webHidden/>
              </w:rPr>
              <w:t>12</w:t>
            </w:r>
            <w:r w:rsidR="009F00A3">
              <w:rPr>
                <w:webHidden/>
              </w:rPr>
              <w:fldChar w:fldCharType="end"/>
            </w:r>
          </w:hyperlink>
        </w:p>
        <w:p w14:paraId="164330B6" w14:textId="06B1A2D8" w:rsidR="009F00A3" w:rsidRDefault="00447115">
          <w:pPr>
            <w:pStyle w:val="TOC2"/>
            <w:tabs>
              <w:tab w:val="left" w:pos="880"/>
              <w:tab w:val="right" w:pos="9628"/>
            </w:tabs>
            <w:rPr>
              <w:rFonts w:asciiTheme="minorHAnsi" w:eastAsiaTheme="minorEastAsia" w:hAnsiTheme="minorHAnsi" w:cstheme="minorBidi"/>
              <w:color w:val="auto"/>
            </w:rPr>
          </w:pPr>
          <w:hyperlink w:anchor="_Toc16760197" w:history="1">
            <w:r w:rsidR="009F00A3" w:rsidRPr="00BD2030">
              <w:rPr>
                <w:rStyle w:val="Hyperlink"/>
              </w:rPr>
              <w:t>12.</w:t>
            </w:r>
            <w:r w:rsidR="009F00A3">
              <w:rPr>
                <w:rFonts w:asciiTheme="minorHAnsi" w:eastAsiaTheme="minorEastAsia" w:hAnsiTheme="minorHAnsi" w:cstheme="minorBidi"/>
                <w:color w:val="auto"/>
              </w:rPr>
              <w:tab/>
            </w:r>
            <w:r w:rsidR="009F00A3" w:rsidRPr="00BD2030">
              <w:rPr>
                <w:rStyle w:val="Hyperlink"/>
              </w:rPr>
              <w:t>Appendix B</w:t>
            </w:r>
            <w:r w:rsidR="009F00A3">
              <w:rPr>
                <w:webHidden/>
              </w:rPr>
              <w:tab/>
            </w:r>
            <w:r w:rsidR="009F00A3">
              <w:rPr>
                <w:webHidden/>
              </w:rPr>
              <w:fldChar w:fldCharType="begin"/>
            </w:r>
            <w:r w:rsidR="009F00A3">
              <w:rPr>
                <w:webHidden/>
              </w:rPr>
              <w:instrText xml:space="preserve"> PAGEREF _Toc16760197 \h </w:instrText>
            </w:r>
            <w:r w:rsidR="009F00A3">
              <w:rPr>
                <w:webHidden/>
              </w:rPr>
            </w:r>
            <w:r w:rsidR="009F00A3">
              <w:rPr>
                <w:webHidden/>
              </w:rPr>
              <w:fldChar w:fldCharType="separate"/>
            </w:r>
            <w:r>
              <w:rPr>
                <w:webHidden/>
              </w:rPr>
              <w:t>13</w:t>
            </w:r>
            <w:r w:rsidR="009F00A3">
              <w:rPr>
                <w:webHidden/>
              </w:rPr>
              <w:fldChar w:fldCharType="end"/>
            </w:r>
          </w:hyperlink>
        </w:p>
        <w:p w14:paraId="2AB07163" w14:textId="6C72FEE0" w:rsidR="009F00A3" w:rsidRDefault="00447115">
          <w:pPr>
            <w:pStyle w:val="TOC2"/>
            <w:tabs>
              <w:tab w:val="left" w:pos="880"/>
              <w:tab w:val="right" w:pos="9628"/>
            </w:tabs>
            <w:rPr>
              <w:rFonts w:asciiTheme="minorHAnsi" w:eastAsiaTheme="minorEastAsia" w:hAnsiTheme="minorHAnsi" w:cstheme="minorBidi"/>
              <w:color w:val="auto"/>
            </w:rPr>
          </w:pPr>
          <w:hyperlink w:anchor="_Toc16760198" w:history="1">
            <w:r w:rsidR="009F00A3" w:rsidRPr="00BD2030">
              <w:rPr>
                <w:rStyle w:val="Hyperlink"/>
              </w:rPr>
              <w:t>13.</w:t>
            </w:r>
            <w:r w:rsidR="009F00A3">
              <w:rPr>
                <w:rFonts w:asciiTheme="minorHAnsi" w:eastAsiaTheme="minorEastAsia" w:hAnsiTheme="minorHAnsi" w:cstheme="minorBidi"/>
                <w:color w:val="auto"/>
              </w:rPr>
              <w:tab/>
            </w:r>
            <w:r w:rsidR="009F00A3" w:rsidRPr="00BD2030">
              <w:rPr>
                <w:rStyle w:val="Hyperlink"/>
              </w:rPr>
              <w:t>Appendix C</w:t>
            </w:r>
            <w:r w:rsidR="009F00A3">
              <w:rPr>
                <w:webHidden/>
              </w:rPr>
              <w:tab/>
            </w:r>
            <w:r w:rsidR="009F00A3">
              <w:rPr>
                <w:webHidden/>
              </w:rPr>
              <w:fldChar w:fldCharType="begin"/>
            </w:r>
            <w:r w:rsidR="009F00A3">
              <w:rPr>
                <w:webHidden/>
              </w:rPr>
              <w:instrText xml:space="preserve"> PAGEREF _Toc16760198 \h </w:instrText>
            </w:r>
            <w:r w:rsidR="009F00A3">
              <w:rPr>
                <w:webHidden/>
              </w:rPr>
            </w:r>
            <w:r w:rsidR="009F00A3">
              <w:rPr>
                <w:webHidden/>
              </w:rPr>
              <w:fldChar w:fldCharType="separate"/>
            </w:r>
            <w:r>
              <w:rPr>
                <w:webHidden/>
              </w:rPr>
              <w:t>14</w:t>
            </w:r>
            <w:r w:rsidR="009F00A3">
              <w:rPr>
                <w:webHidden/>
              </w:rPr>
              <w:fldChar w:fldCharType="end"/>
            </w:r>
          </w:hyperlink>
        </w:p>
        <w:p w14:paraId="4DFAB071" w14:textId="3D70ABCB" w:rsidR="009F00A3" w:rsidRDefault="00447115">
          <w:pPr>
            <w:pStyle w:val="TOC2"/>
            <w:tabs>
              <w:tab w:val="left" w:pos="880"/>
              <w:tab w:val="right" w:pos="9628"/>
            </w:tabs>
            <w:rPr>
              <w:rFonts w:asciiTheme="minorHAnsi" w:eastAsiaTheme="minorEastAsia" w:hAnsiTheme="minorHAnsi" w:cstheme="minorBidi"/>
              <w:color w:val="auto"/>
            </w:rPr>
          </w:pPr>
          <w:hyperlink w:anchor="_Toc16760199" w:history="1">
            <w:r w:rsidR="009F00A3" w:rsidRPr="00BD2030">
              <w:rPr>
                <w:rStyle w:val="Hyperlink"/>
              </w:rPr>
              <w:t>14.</w:t>
            </w:r>
            <w:r w:rsidR="009F00A3">
              <w:rPr>
                <w:rFonts w:asciiTheme="minorHAnsi" w:eastAsiaTheme="minorEastAsia" w:hAnsiTheme="minorHAnsi" w:cstheme="minorBidi"/>
                <w:color w:val="auto"/>
              </w:rPr>
              <w:tab/>
            </w:r>
            <w:r w:rsidR="009F00A3" w:rsidRPr="00BD2030">
              <w:rPr>
                <w:rStyle w:val="Hyperlink"/>
              </w:rPr>
              <w:t>Appendix D</w:t>
            </w:r>
            <w:r w:rsidR="009F00A3">
              <w:rPr>
                <w:webHidden/>
              </w:rPr>
              <w:tab/>
            </w:r>
            <w:r w:rsidR="009F00A3">
              <w:rPr>
                <w:webHidden/>
              </w:rPr>
              <w:fldChar w:fldCharType="begin"/>
            </w:r>
            <w:r w:rsidR="009F00A3">
              <w:rPr>
                <w:webHidden/>
              </w:rPr>
              <w:instrText xml:space="preserve"> PAGEREF _Toc16760199 \h </w:instrText>
            </w:r>
            <w:r w:rsidR="009F00A3">
              <w:rPr>
                <w:webHidden/>
              </w:rPr>
            </w:r>
            <w:r w:rsidR="009F00A3">
              <w:rPr>
                <w:webHidden/>
              </w:rPr>
              <w:fldChar w:fldCharType="separate"/>
            </w:r>
            <w:r>
              <w:rPr>
                <w:webHidden/>
              </w:rPr>
              <w:t>15</w:t>
            </w:r>
            <w:r w:rsidR="009F00A3">
              <w:rPr>
                <w:webHidden/>
              </w:rPr>
              <w:fldChar w:fldCharType="end"/>
            </w:r>
          </w:hyperlink>
        </w:p>
        <w:p w14:paraId="4039C8FC" w14:textId="0C39F5EA" w:rsidR="00E1386C" w:rsidRDefault="00E1386C" w:rsidP="00E1386C">
          <w:r>
            <w:rPr>
              <w:b/>
              <w:bCs/>
            </w:rPr>
            <w:fldChar w:fldCharType="end"/>
          </w:r>
        </w:p>
      </w:sdtContent>
    </w:sdt>
    <w:p w14:paraId="03E04FE1" w14:textId="77777777" w:rsidR="00E1386C" w:rsidRDefault="00E1386C">
      <w:pPr>
        <w:tabs>
          <w:tab w:val="clear" w:pos="-3060"/>
          <w:tab w:val="clear" w:pos="-2340"/>
          <w:tab w:val="clear" w:pos="6300"/>
        </w:tabs>
        <w:suppressAutoHyphens w:val="0"/>
        <w:spacing w:after="160" w:line="259" w:lineRule="auto"/>
      </w:pPr>
      <w:r>
        <w:t xml:space="preserve"> </w:t>
      </w:r>
      <w:r>
        <w:br w:type="page"/>
      </w:r>
    </w:p>
    <w:p w14:paraId="4F652688" w14:textId="77777777" w:rsidR="005924BC" w:rsidRDefault="005924BC" w:rsidP="006F35F2">
      <w:pPr>
        <w:pStyle w:val="Heading2"/>
      </w:pPr>
      <w:bookmarkStart w:id="3" w:name="_Toc479776214"/>
      <w:bookmarkStart w:id="4" w:name="_Toc380755455"/>
      <w:bookmarkStart w:id="5" w:name="_Toc16760185"/>
      <w:r>
        <w:lastRenderedPageBreak/>
        <w:t>P</w:t>
      </w:r>
      <w:bookmarkEnd w:id="3"/>
      <w:bookmarkEnd w:id="4"/>
      <w:r w:rsidR="00E67E99">
        <w:t>urpose</w:t>
      </w:r>
      <w:bookmarkEnd w:id="5"/>
    </w:p>
    <w:p w14:paraId="7684074B" w14:textId="77777777" w:rsidR="005924BC" w:rsidRPr="002364E7" w:rsidRDefault="005924BC" w:rsidP="005924BC">
      <w:pPr>
        <w:pStyle w:val="ListParagraph"/>
        <w:numPr>
          <w:ilvl w:val="1"/>
          <w:numId w:val="6"/>
        </w:numPr>
        <w:tabs>
          <w:tab w:val="clear" w:pos="-3060"/>
          <w:tab w:val="clear" w:pos="-2340"/>
          <w:tab w:val="clear" w:pos="6300"/>
        </w:tabs>
        <w:suppressAutoHyphens w:val="0"/>
        <w:spacing w:before="120"/>
        <w:ind w:left="811" w:hanging="454"/>
        <w:contextualSpacing w:val="0"/>
      </w:pPr>
      <w:r w:rsidRPr="002364E7">
        <w:t>The City of Port Phillip is committed to funding community activities and programs that align with the Council Plan 2017-27 to support and promote a liveable, inviti</w:t>
      </w:r>
      <w:r w:rsidR="00D8602D">
        <w:t>ng and real</w:t>
      </w:r>
      <w:r w:rsidRPr="002364E7">
        <w:t xml:space="preserve"> community.  A City where people are welcomed and belong, c</w:t>
      </w:r>
      <w:r w:rsidR="00D8602D">
        <w:t xml:space="preserve">reativity is encouraged and </w:t>
      </w:r>
      <w:r w:rsidRPr="002364E7">
        <w:t>history is celebrated.</w:t>
      </w:r>
    </w:p>
    <w:p w14:paraId="4218CAEC" w14:textId="77777777" w:rsidR="005924BC" w:rsidRPr="002364E7" w:rsidRDefault="005924BC" w:rsidP="005924BC">
      <w:pPr>
        <w:pStyle w:val="ListParagraph"/>
        <w:numPr>
          <w:ilvl w:val="1"/>
          <w:numId w:val="6"/>
        </w:numPr>
        <w:tabs>
          <w:tab w:val="clear" w:pos="-3060"/>
          <w:tab w:val="clear" w:pos="-2340"/>
          <w:tab w:val="clear" w:pos="6300"/>
        </w:tabs>
        <w:suppressAutoHyphens w:val="0"/>
        <w:spacing w:before="120"/>
        <w:ind w:left="811" w:hanging="454"/>
        <w:contextualSpacing w:val="0"/>
      </w:pPr>
      <w:r w:rsidRPr="002364E7">
        <w:t>Council</w:t>
      </w:r>
      <w:r w:rsidR="003620FB" w:rsidRPr="002364E7">
        <w:t>s</w:t>
      </w:r>
      <w:r w:rsidRPr="002364E7">
        <w:t xml:space="preserve"> investment in sustainable community outcomes is a key strategic priority with significant funding activity occurring across the City.  In delivering on those outcomes, Council funding can be </w:t>
      </w:r>
      <w:r w:rsidR="00D8602D">
        <w:t xml:space="preserve">a </w:t>
      </w:r>
      <w:r w:rsidRPr="002364E7">
        <w:t>strategic and potent drivers, particularly when partnering with the community.</w:t>
      </w:r>
    </w:p>
    <w:p w14:paraId="4C2D912E" w14:textId="77777777" w:rsidR="005924BC" w:rsidRPr="002364E7" w:rsidRDefault="005924BC" w:rsidP="005924BC">
      <w:pPr>
        <w:pStyle w:val="ListParagraph"/>
        <w:numPr>
          <w:ilvl w:val="1"/>
          <w:numId w:val="6"/>
        </w:numPr>
        <w:tabs>
          <w:tab w:val="clear" w:pos="-3060"/>
          <w:tab w:val="clear" w:pos="-2340"/>
          <w:tab w:val="clear" w:pos="6300"/>
        </w:tabs>
        <w:suppressAutoHyphens w:val="0"/>
        <w:spacing w:before="120"/>
        <w:ind w:left="811" w:hanging="454"/>
        <w:contextualSpacing w:val="0"/>
      </w:pPr>
      <w:r w:rsidRPr="002364E7">
        <w:t>This policy provides the guiding principles and accompanying framework for the delivery of grants subsidies, donations and funding agreements in the City of Port Phillip to community organisations and individuals.</w:t>
      </w:r>
    </w:p>
    <w:p w14:paraId="0B277C90" w14:textId="77777777" w:rsidR="005924BC" w:rsidRPr="002364E7" w:rsidRDefault="005924BC" w:rsidP="005924BC">
      <w:pPr>
        <w:pStyle w:val="ListParagraph"/>
        <w:numPr>
          <w:ilvl w:val="1"/>
          <w:numId w:val="6"/>
        </w:numPr>
        <w:tabs>
          <w:tab w:val="clear" w:pos="-3060"/>
          <w:tab w:val="clear" w:pos="-2340"/>
          <w:tab w:val="clear" w:pos="6300"/>
        </w:tabs>
        <w:suppressAutoHyphens w:val="0"/>
        <w:spacing w:before="120"/>
        <w:ind w:left="811" w:hanging="454"/>
        <w:contextualSpacing w:val="0"/>
      </w:pPr>
      <w:r w:rsidRPr="002364E7">
        <w:t>The Community Funding Policy is supported by Council’s opera</w:t>
      </w:r>
      <w:r w:rsidR="003620FB" w:rsidRPr="002364E7">
        <w:t>tional frameworks and processes</w:t>
      </w:r>
      <w:r w:rsidRPr="002364E7">
        <w:t xml:space="preserve"> which include the:</w:t>
      </w:r>
    </w:p>
    <w:p w14:paraId="04E2548B" w14:textId="77777777" w:rsidR="005924BC" w:rsidRPr="002364E7" w:rsidRDefault="003620FB" w:rsidP="005924BC">
      <w:pPr>
        <w:pStyle w:val="ListParagraph"/>
        <w:numPr>
          <w:ilvl w:val="2"/>
          <w:numId w:val="6"/>
        </w:numPr>
        <w:tabs>
          <w:tab w:val="clear" w:pos="-3060"/>
          <w:tab w:val="clear" w:pos="-2340"/>
          <w:tab w:val="clear" w:pos="6300"/>
        </w:tabs>
        <w:suppressAutoHyphens w:val="0"/>
        <w:spacing w:before="120"/>
        <w:ind w:left="1560" w:hanging="426"/>
        <w:contextualSpacing w:val="0"/>
      </w:pPr>
      <w:r w:rsidRPr="002364E7">
        <w:t>Funding Management Framework</w:t>
      </w:r>
    </w:p>
    <w:p w14:paraId="79D1FCC2" w14:textId="77777777" w:rsidR="005924BC" w:rsidRPr="002364E7" w:rsidRDefault="003620FB" w:rsidP="005924BC">
      <w:pPr>
        <w:pStyle w:val="ListParagraph"/>
        <w:numPr>
          <w:ilvl w:val="2"/>
          <w:numId w:val="6"/>
        </w:numPr>
        <w:tabs>
          <w:tab w:val="clear" w:pos="-3060"/>
          <w:tab w:val="clear" w:pos="-2340"/>
          <w:tab w:val="clear" w:pos="6300"/>
        </w:tabs>
        <w:suppressAutoHyphens w:val="0"/>
        <w:spacing w:before="120"/>
        <w:ind w:left="1560" w:hanging="426"/>
        <w:contextualSpacing w:val="0"/>
      </w:pPr>
      <w:r w:rsidRPr="002364E7">
        <w:t>Program Logic</w:t>
      </w:r>
    </w:p>
    <w:p w14:paraId="07DA9B63" w14:textId="77777777" w:rsidR="005924BC" w:rsidRPr="002364E7" w:rsidRDefault="003620FB" w:rsidP="005924BC">
      <w:pPr>
        <w:pStyle w:val="ListParagraph"/>
        <w:numPr>
          <w:ilvl w:val="2"/>
          <w:numId w:val="6"/>
        </w:numPr>
        <w:tabs>
          <w:tab w:val="clear" w:pos="-3060"/>
          <w:tab w:val="clear" w:pos="-2340"/>
          <w:tab w:val="clear" w:pos="6300"/>
        </w:tabs>
        <w:suppressAutoHyphens w:val="0"/>
        <w:spacing w:before="120"/>
        <w:ind w:left="1560" w:hanging="426"/>
        <w:contextualSpacing w:val="0"/>
      </w:pPr>
      <w:r w:rsidRPr="002364E7">
        <w:t>Funding Lifecycle, and</w:t>
      </w:r>
    </w:p>
    <w:p w14:paraId="6887D0A5" w14:textId="77777777" w:rsidR="005924BC" w:rsidRPr="002364E7" w:rsidRDefault="005924BC" w:rsidP="005924BC">
      <w:pPr>
        <w:pStyle w:val="ListParagraph"/>
        <w:numPr>
          <w:ilvl w:val="2"/>
          <w:numId w:val="6"/>
        </w:numPr>
        <w:tabs>
          <w:tab w:val="clear" w:pos="-3060"/>
          <w:tab w:val="clear" w:pos="-2340"/>
          <w:tab w:val="clear" w:pos="6300"/>
        </w:tabs>
        <w:suppressAutoHyphens w:val="0"/>
        <w:spacing w:before="120"/>
        <w:ind w:left="1560" w:hanging="426"/>
        <w:contextualSpacing w:val="0"/>
      </w:pPr>
      <w:r w:rsidRPr="002364E7">
        <w:t>other grants related procedural documents (see Appendix B).</w:t>
      </w:r>
    </w:p>
    <w:p w14:paraId="3D5C462C" w14:textId="77777777" w:rsidR="005924BC" w:rsidRDefault="005924BC" w:rsidP="005924BC">
      <w:pPr>
        <w:autoSpaceDE w:val="0"/>
        <w:autoSpaceDN w:val="0"/>
        <w:adjustRightInd w:val="0"/>
        <w:spacing w:after="0"/>
        <w:rPr>
          <w:rFonts w:ascii="Calibri" w:hAnsi="Calibri"/>
          <w:lang w:val="en-GB" w:eastAsia="en-US"/>
        </w:rPr>
      </w:pPr>
    </w:p>
    <w:p w14:paraId="17FCE5F8" w14:textId="77777777" w:rsidR="005924BC" w:rsidRDefault="005924BC" w:rsidP="006F35F2">
      <w:pPr>
        <w:pStyle w:val="Heading2"/>
        <w:rPr>
          <w:rFonts w:ascii="Gill Sans MT" w:eastAsiaTheme="majorEastAsia" w:hAnsi="Gill Sans MT"/>
          <w:lang w:val="en-AU"/>
        </w:rPr>
      </w:pPr>
      <w:bookmarkStart w:id="6" w:name="_Toc380755456"/>
      <w:bookmarkStart w:id="7" w:name="_Toc16760186"/>
      <w:r>
        <w:t>P</w:t>
      </w:r>
      <w:bookmarkEnd w:id="6"/>
      <w:r w:rsidR="00C552DF">
        <w:t>olicy context</w:t>
      </w:r>
      <w:bookmarkEnd w:id="7"/>
    </w:p>
    <w:p w14:paraId="5C0F28B8" w14:textId="77777777" w:rsidR="005924BC" w:rsidRDefault="005924BC" w:rsidP="00855EDA">
      <w:bookmarkStart w:id="8" w:name="_Toc380755457"/>
      <w:r>
        <w:t>Objectives of a Council</w:t>
      </w:r>
      <w:bookmarkEnd w:id="8"/>
    </w:p>
    <w:p w14:paraId="4C99FB93" w14:textId="77777777" w:rsidR="005924BC" w:rsidRPr="002364E7" w:rsidRDefault="005924BC" w:rsidP="005924BC">
      <w:pPr>
        <w:pStyle w:val="ListParagraph"/>
        <w:numPr>
          <w:ilvl w:val="1"/>
          <w:numId w:val="6"/>
        </w:numPr>
        <w:tabs>
          <w:tab w:val="clear" w:pos="-3060"/>
          <w:tab w:val="clear" w:pos="-2340"/>
          <w:tab w:val="clear" w:pos="6300"/>
        </w:tabs>
        <w:suppressAutoHyphens w:val="0"/>
        <w:spacing w:before="120"/>
        <w:ind w:left="811" w:hanging="454"/>
        <w:contextualSpacing w:val="0"/>
      </w:pPr>
      <w:r w:rsidRPr="002364E7">
        <w:t>The Local Government Act (1989) identifies the primary objective of a Council as one that endeavours to achieve the best outcomes for the local community having regard to the long term and cumulative effects of decisions.</w:t>
      </w:r>
    </w:p>
    <w:p w14:paraId="4A552359" w14:textId="77777777" w:rsidR="005924BC" w:rsidRPr="002364E7" w:rsidRDefault="005924BC" w:rsidP="005924BC">
      <w:pPr>
        <w:pStyle w:val="ListParagraph"/>
        <w:numPr>
          <w:ilvl w:val="1"/>
          <w:numId w:val="6"/>
        </w:numPr>
        <w:tabs>
          <w:tab w:val="clear" w:pos="-3060"/>
          <w:tab w:val="clear" w:pos="-2340"/>
          <w:tab w:val="clear" w:pos="6300"/>
        </w:tabs>
        <w:suppressAutoHyphens w:val="0"/>
        <w:spacing w:before="120"/>
        <w:ind w:left="811" w:hanging="454"/>
        <w:contextualSpacing w:val="0"/>
      </w:pPr>
      <w:r w:rsidRPr="002364E7">
        <w:t>In seeking to achieve this primary objective, Council has</w:t>
      </w:r>
      <w:r w:rsidR="003620FB" w:rsidRPr="002364E7">
        <w:t xml:space="preserve"> a</w:t>
      </w:r>
      <w:r w:rsidRPr="002364E7">
        <w:t xml:space="preserve"> role in:</w:t>
      </w:r>
    </w:p>
    <w:p w14:paraId="3F39EB38" w14:textId="77777777" w:rsidR="005924BC" w:rsidRPr="002364E7" w:rsidRDefault="005924BC" w:rsidP="005924BC">
      <w:pPr>
        <w:pStyle w:val="ListParagraph"/>
        <w:numPr>
          <w:ilvl w:val="0"/>
          <w:numId w:val="7"/>
        </w:numPr>
        <w:tabs>
          <w:tab w:val="clear" w:pos="-3060"/>
          <w:tab w:val="clear" w:pos="-2340"/>
          <w:tab w:val="clear" w:pos="6300"/>
        </w:tabs>
        <w:suppressAutoHyphens w:val="0"/>
        <w:spacing w:before="120"/>
        <w:contextualSpacing w:val="0"/>
      </w:pPr>
      <w:r w:rsidRPr="002364E7">
        <w:t>advocating the interests of the local community to other communities and governments</w:t>
      </w:r>
    </w:p>
    <w:p w14:paraId="2C018DAD" w14:textId="77777777" w:rsidR="005924BC" w:rsidRPr="002364E7" w:rsidRDefault="005924BC" w:rsidP="005924BC">
      <w:pPr>
        <w:pStyle w:val="ListParagraph"/>
        <w:numPr>
          <w:ilvl w:val="0"/>
          <w:numId w:val="7"/>
        </w:numPr>
        <w:tabs>
          <w:tab w:val="clear" w:pos="-3060"/>
          <w:tab w:val="clear" w:pos="-2340"/>
          <w:tab w:val="clear" w:pos="6300"/>
        </w:tabs>
        <w:suppressAutoHyphens w:val="0"/>
        <w:spacing w:before="120"/>
        <w:contextualSpacing w:val="0"/>
      </w:pPr>
      <w:r w:rsidRPr="002364E7">
        <w:t xml:space="preserve">acting as a responsible partner in government by taking into account the needs of other communities </w:t>
      </w:r>
    </w:p>
    <w:p w14:paraId="52A4E084" w14:textId="77777777" w:rsidR="005924BC" w:rsidRPr="002364E7" w:rsidRDefault="005924BC" w:rsidP="005924BC">
      <w:pPr>
        <w:pStyle w:val="ListParagraph"/>
        <w:numPr>
          <w:ilvl w:val="0"/>
          <w:numId w:val="7"/>
        </w:numPr>
        <w:tabs>
          <w:tab w:val="clear" w:pos="-3060"/>
          <w:tab w:val="clear" w:pos="-2340"/>
          <w:tab w:val="clear" w:pos="6300"/>
        </w:tabs>
        <w:suppressAutoHyphens w:val="0"/>
        <w:spacing w:before="120"/>
        <w:contextualSpacing w:val="0"/>
      </w:pPr>
      <w:r w:rsidRPr="002364E7">
        <w:t>fostering community cohesion and encouraging active participation in civic life, and;</w:t>
      </w:r>
    </w:p>
    <w:p w14:paraId="1A460A69" w14:textId="77777777" w:rsidR="005924BC" w:rsidRPr="002364E7" w:rsidRDefault="005924BC" w:rsidP="005924BC">
      <w:pPr>
        <w:pStyle w:val="ListParagraph"/>
        <w:numPr>
          <w:ilvl w:val="0"/>
          <w:numId w:val="7"/>
        </w:numPr>
        <w:tabs>
          <w:tab w:val="clear" w:pos="-3060"/>
          <w:tab w:val="clear" w:pos="-2340"/>
          <w:tab w:val="clear" w:pos="6300"/>
        </w:tabs>
        <w:suppressAutoHyphens w:val="0"/>
        <w:spacing w:before="120"/>
        <w:contextualSpacing w:val="0"/>
      </w:pPr>
      <w:r w:rsidRPr="002364E7">
        <w:t>ensuring transparency and accountability in Council decision-making.</w:t>
      </w:r>
    </w:p>
    <w:p w14:paraId="0C0A2B8D" w14:textId="77777777" w:rsidR="001E49FB" w:rsidRPr="002364E7" w:rsidRDefault="005924BC" w:rsidP="00FF57F0">
      <w:pPr>
        <w:pStyle w:val="ListParagraph"/>
        <w:numPr>
          <w:ilvl w:val="1"/>
          <w:numId w:val="6"/>
        </w:numPr>
        <w:tabs>
          <w:tab w:val="clear" w:pos="-3060"/>
          <w:tab w:val="clear" w:pos="-2340"/>
          <w:tab w:val="clear" w:pos="6300"/>
        </w:tabs>
        <w:suppressAutoHyphens w:val="0"/>
        <w:spacing w:before="120"/>
        <w:ind w:left="811" w:hanging="454"/>
        <w:contextualSpacing w:val="0"/>
      </w:pPr>
      <w:r w:rsidRPr="002364E7">
        <w:t>Community Grants programs and strategic funding agreements are one of the key ways in which local governments can enter into partnership with community organisations and groups to meet community needs, support local networks, encourage participation in community life, facilitate innovation and responsiveness in community service provision, and promote access, inclusion and acceptance of diversity.</w:t>
      </w:r>
      <w:r w:rsidRPr="002364E7">
        <w:rPr>
          <w:rStyle w:val="FootnoteReference"/>
        </w:rPr>
        <w:footnoteReference w:id="1"/>
      </w:r>
      <w:r w:rsidRPr="002364E7">
        <w:t xml:space="preserve">  When </w:t>
      </w:r>
      <w:r w:rsidR="00D8602D">
        <w:t>c</w:t>
      </w:r>
      <w:r w:rsidRPr="002364E7">
        <w:t xml:space="preserve">ouncils support and </w:t>
      </w:r>
      <w:r w:rsidRPr="002364E7">
        <w:lastRenderedPageBreak/>
        <w:t>resource community groups in seeking funds and achieving outcomes, the relationship between local governments and local communities can be strengthened.</w:t>
      </w:r>
      <w:r w:rsidRPr="002364E7">
        <w:rPr>
          <w:rStyle w:val="FootnoteReference"/>
        </w:rPr>
        <w:footnoteReference w:id="2"/>
      </w:r>
    </w:p>
    <w:p w14:paraId="6269A00C" w14:textId="77777777" w:rsidR="005924BC" w:rsidRDefault="002364E7" w:rsidP="00855EDA">
      <w:r>
        <w:t>Alignment to the Council Plan</w:t>
      </w:r>
    </w:p>
    <w:p w14:paraId="092DE0BA" w14:textId="77777777" w:rsidR="005924BC" w:rsidRPr="002364E7" w:rsidRDefault="005924BC" w:rsidP="005924BC">
      <w:pPr>
        <w:pStyle w:val="ListParagraph"/>
        <w:numPr>
          <w:ilvl w:val="1"/>
          <w:numId w:val="6"/>
        </w:numPr>
        <w:tabs>
          <w:tab w:val="clear" w:pos="-3060"/>
          <w:tab w:val="clear" w:pos="-2340"/>
          <w:tab w:val="clear" w:pos="6300"/>
        </w:tabs>
        <w:suppressAutoHyphens w:val="0"/>
        <w:spacing w:before="120"/>
        <w:ind w:left="811" w:hanging="454"/>
        <w:contextualSpacing w:val="0"/>
      </w:pPr>
      <w:r w:rsidRPr="002364E7">
        <w:t>The Council Plan sets out six strategic directions to deliver the vision for the City of Port Phillip.  The Council Plan is structured around these directions and the desired outcomes for the health and wellbeing of the community and places that are to be achieved by 2027.</w:t>
      </w:r>
    </w:p>
    <w:p w14:paraId="4012F66B" w14:textId="77777777" w:rsidR="005924BC" w:rsidRPr="001E49FB" w:rsidRDefault="005924BC" w:rsidP="001E49FB">
      <w:pPr>
        <w:pStyle w:val="ListParagraph"/>
        <w:numPr>
          <w:ilvl w:val="1"/>
          <w:numId w:val="6"/>
        </w:numPr>
        <w:tabs>
          <w:tab w:val="clear" w:pos="-3060"/>
          <w:tab w:val="clear" w:pos="-2340"/>
          <w:tab w:val="clear" w:pos="6300"/>
        </w:tabs>
        <w:suppressAutoHyphens w:val="0"/>
        <w:spacing w:before="120"/>
        <w:ind w:left="811" w:hanging="454"/>
        <w:contextualSpacing w:val="0"/>
      </w:pPr>
      <w:r w:rsidRPr="002364E7">
        <w:t>The Community Funding Policy operates in alignment with the Council’s six strategic directions:</w:t>
      </w:r>
    </w:p>
    <w:tbl>
      <w:tblPr>
        <w:tblStyle w:val="TableGrid"/>
        <w:tblW w:w="0" w:type="auto"/>
        <w:tblInd w:w="392" w:type="dxa"/>
        <w:tblLook w:val="04A0" w:firstRow="1" w:lastRow="0" w:firstColumn="1" w:lastColumn="0" w:noHBand="0" w:noVBand="1"/>
        <w:tblDescription w:val="Strategic directions 2017-27 and how the Community Funding Policy aligns to them."/>
      </w:tblPr>
      <w:tblGrid>
        <w:gridCol w:w="3468"/>
        <w:gridCol w:w="5768"/>
      </w:tblGrid>
      <w:tr w:rsidR="005924BC" w14:paraId="5BBB73F5" w14:textId="77777777" w:rsidTr="002D504F">
        <w:trPr>
          <w:tblHeader/>
        </w:trPr>
        <w:tc>
          <w:tcPr>
            <w:tcW w:w="3468" w:type="dxa"/>
            <w:tcBorders>
              <w:top w:val="single" w:sz="4" w:space="0" w:color="auto"/>
              <w:left w:val="single" w:sz="4" w:space="0" w:color="auto"/>
              <w:bottom w:val="single" w:sz="4" w:space="0" w:color="auto"/>
              <w:right w:val="single" w:sz="4" w:space="0" w:color="auto"/>
            </w:tcBorders>
            <w:hideMark/>
          </w:tcPr>
          <w:p w14:paraId="32843F36" w14:textId="77777777" w:rsidR="005924BC" w:rsidRPr="002364E7" w:rsidRDefault="005924BC">
            <w:pPr>
              <w:spacing w:before="120"/>
              <w:rPr>
                <w:color w:val="auto"/>
                <w:sz w:val="20"/>
                <w:szCs w:val="20"/>
              </w:rPr>
            </w:pPr>
            <w:r w:rsidRPr="002364E7">
              <w:rPr>
                <w:b/>
                <w:bCs/>
                <w:color w:val="auto"/>
              </w:rPr>
              <w:t>Strategic Directions 2017-27</w:t>
            </w:r>
          </w:p>
        </w:tc>
        <w:tc>
          <w:tcPr>
            <w:tcW w:w="5768" w:type="dxa"/>
            <w:tcBorders>
              <w:top w:val="single" w:sz="4" w:space="0" w:color="auto"/>
              <w:left w:val="single" w:sz="4" w:space="0" w:color="auto"/>
              <w:bottom w:val="single" w:sz="4" w:space="0" w:color="auto"/>
              <w:right w:val="single" w:sz="4" w:space="0" w:color="auto"/>
            </w:tcBorders>
            <w:hideMark/>
          </w:tcPr>
          <w:p w14:paraId="1679DA61" w14:textId="77777777" w:rsidR="005924BC" w:rsidRPr="002364E7" w:rsidRDefault="00C552DF">
            <w:pPr>
              <w:spacing w:before="120"/>
              <w:rPr>
                <w:color w:val="auto"/>
                <w:sz w:val="20"/>
                <w:szCs w:val="20"/>
              </w:rPr>
            </w:pPr>
            <w:r>
              <w:rPr>
                <w:b/>
                <w:bCs/>
                <w:color w:val="auto"/>
              </w:rPr>
              <w:t>How the Community Funding P</w:t>
            </w:r>
            <w:r w:rsidR="005924BC" w:rsidRPr="002364E7">
              <w:rPr>
                <w:b/>
                <w:bCs/>
                <w:color w:val="auto"/>
              </w:rPr>
              <w:t>olicy align</w:t>
            </w:r>
            <w:r w:rsidR="003620FB" w:rsidRPr="002364E7">
              <w:rPr>
                <w:b/>
                <w:bCs/>
                <w:color w:val="auto"/>
              </w:rPr>
              <w:t>s</w:t>
            </w:r>
          </w:p>
        </w:tc>
      </w:tr>
      <w:tr w:rsidR="009F00A3" w14:paraId="728823DF" w14:textId="77777777" w:rsidTr="009F00A3">
        <w:tc>
          <w:tcPr>
            <w:tcW w:w="3468" w:type="dxa"/>
            <w:tcBorders>
              <w:top w:val="single" w:sz="4" w:space="0" w:color="auto"/>
              <w:left w:val="single" w:sz="4" w:space="0" w:color="auto"/>
              <w:bottom w:val="single" w:sz="4" w:space="0" w:color="auto"/>
              <w:right w:val="single" w:sz="4" w:space="0" w:color="auto"/>
            </w:tcBorders>
            <w:hideMark/>
          </w:tcPr>
          <w:p w14:paraId="118589E8" w14:textId="37258787" w:rsidR="009F00A3" w:rsidRPr="002364E7" w:rsidRDefault="009F00A3" w:rsidP="000A7348">
            <w:pPr>
              <w:spacing w:before="120"/>
            </w:pPr>
            <w:r w:rsidRPr="002364E7">
              <w:t>1</w:t>
            </w:r>
            <w:r w:rsidR="000A7348">
              <w:t xml:space="preserve">. </w:t>
            </w:r>
            <w:r w:rsidRPr="002364E7">
              <w:t>We embrace difference, and people belong</w:t>
            </w:r>
          </w:p>
        </w:tc>
        <w:tc>
          <w:tcPr>
            <w:tcW w:w="5768" w:type="dxa"/>
            <w:tcBorders>
              <w:top w:val="single" w:sz="4" w:space="0" w:color="auto"/>
              <w:left w:val="single" w:sz="4" w:space="0" w:color="auto"/>
              <w:bottom w:val="single" w:sz="4" w:space="0" w:color="auto"/>
              <w:right w:val="single" w:sz="4" w:space="0" w:color="auto"/>
            </w:tcBorders>
            <w:hideMark/>
          </w:tcPr>
          <w:p w14:paraId="4B084B5E" w14:textId="77777777" w:rsidR="009F00A3" w:rsidRPr="002364E7" w:rsidRDefault="009F00A3" w:rsidP="005924BC">
            <w:pPr>
              <w:pStyle w:val="ListParagraph"/>
              <w:numPr>
                <w:ilvl w:val="0"/>
                <w:numId w:val="8"/>
              </w:numPr>
              <w:tabs>
                <w:tab w:val="clear" w:pos="-3060"/>
                <w:tab w:val="clear" w:pos="-2340"/>
                <w:tab w:val="clear" w:pos="6300"/>
              </w:tabs>
              <w:suppressAutoHyphens w:val="0"/>
              <w:spacing w:before="120"/>
              <w:contextualSpacing w:val="0"/>
            </w:pPr>
            <w:r w:rsidRPr="002364E7">
              <w:t>Providing Guiding Principles that value and encourage lifelong learning, enhance social connection, support cultural diversity and provide opportunities that support the health and well-being of our growing community</w:t>
            </w:r>
          </w:p>
          <w:p w14:paraId="184036EF" w14:textId="77777777" w:rsidR="009F00A3" w:rsidRPr="002364E7" w:rsidRDefault="009F00A3" w:rsidP="005924BC">
            <w:pPr>
              <w:pStyle w:val="ListParagraph"/>
              <w:numPr>
                <w:ilvl w:val="0"/>
                <w:numId w:val="8"/>
              </w:numPr>
              <w:tabs>
                <w:tab w:val="clear" w:pos="-3060"/>
                <w:tab w:val="clear" w:pos="-2340"/>
                <w:tab w:val="clear" w:pos="6300"/>
              </w:tabs>
              <w:suppressAutoHyphens w:val="0"/>
              <w:spacing w:before="120"/>
              <w:contextualSpacing w:val="0"/>
            </w:pPr>
            <w:r w:rsidRPr="002364E7">
              <w:t xml:space="preserve">Working with community organisations that demonstrate their ability to deliver on this key strategic objective and support inclusivity in the City of Port Phillip </w:t>
            </w:r>
          </w:p>
        </w:tc>
      </w:tr>
      <w:tr w:rsidR="000A7348" w14:paraId="08E03F13" w14:textId="77777777" w:rsidTr="005C045F">
        <w:tc>
          <w:tcPr>
            <w:tcW w:w="3468" w:type="dxa"/>
            <w:tcBorders>
              <w:top w:val="single" w:sz="4" w:space="0" w:color="auto"/>
              <w:left w:val="single" w:sz="4" w:space="0" w:color="auto"/>
              <w:bottom w:val="single" w:sz="4" w:space="0" w:color="auto"/>
              <w:right w:val="single" w:sz="4" w:space="0" w:color="auto"/>
            </w:tcBorders>
            <w:hideMark/>
          </w:tcPr>
          <w:p w14:paraId="6844041C" w14:textId="3C6644EC" w:rsidR="000A7348" w:rsidRPr="002364E7" w:rsidRDefault="000A7348" w:rsidP="000A7348">
            <w:pPr>
              <w:spacing w:before="120"/>
            </w:pPr>
            <w:r w:rsidRPr="002364E7">
              <w:t>2</w:t>
            </w:r>
            <w:r>
              <w:t xml:space="preserve">. </w:t>
            </w:r>
            <w:r w:rsidRPr="002364E7">
              <w:t>We are connected and it’s easy to move around</w:t>
            </w:r>
          </w:p>
        </w:tc>
        <w:tc>
          <w:tcPr>
            <w:tcW w:w="5768" w:type="dxa"/>
            <w:tcBorders>
              <w:top w:val="single" w:sz="4" w:space="0" w:color="auto"/>
              <w:left w:val="single" w:sz="4" w:space="0" w:color="auto"/>
              <w:bottom w:val="single" w:sz="4" w:space="0" w:color="auto"/>
              <w:right w:val="single" w:sz="4" w:space="0" w:color="auto"/>
            </w:tcBorders>
            <w:hideMark/>
          </w:tcPr>
          <w:p w14:paraId="145E8350" w14:textId="77777777" w:rsidR="000A7348" w:rsidRPr="002364E7" w:rsidRDefault="000A7348" w:rsidP="005924BC">
            <w:pPr>
              <w:pStyle w:val="ListParagraph"/>
              <w:numPr>
                <w:ilvl w:val="0"/>
                <w:numId w:val="8"/>
              </w:numPr>
              <w:tabs>
                <w:tab w:val="clear" w:pos="-3060"/>
                <w:tab w:val="clear" w:pos="-2340"/>
                <w:tab w:val="clear" w:pos="6300"/>
              </w:tabs>
              <w:suppressAutoHyphens w:val="0"/>
              <w:spacing w:before="120"/>
              <w:contextualSpacing w:val="0"/>
            </w:pPr>
            <w:r w:rsidRPr="002364E7">
              <w:t>Working with the community and partners on programs that improve social connections and integrated transport solutions</w:t>
            </w:r>
          </w:p>
        </w:tc>
      </w:tr>
      <w:tr w:rsidR="000A7348" w14:paraId="55782BAA" w14:textId="77777777" w:rsidTr="00FE46E9">
        <w:tc>
          <w:tcPr>
            <w:tcW w:w="3468" w:type="dxa"/>
            <w:tcBorders>
              <w:top w:val="single" w:sz="4" w:space="0" w:color="auto"/>
              <w:left w:val="single" w:sz="4" w:space="0" w:color="auto"/>
              <w:bottom w:val="single" w:sz="4" w:space="0" w:color="auto"/>
              <w:right w:val="single" w:sz="4" w:space="0" w:color="auto"/>
            </w:tcBorders>
            <w:hideMark/>
          </w:tcPr>
          <w:p w14:paraId="479EDC95" w14:textId="2E081AD6" w:rsidR="000A7348" w:rsidRPr="002364E7" w:rsidRDefault="000A7348" w:rsidP="000A7348">
            <w:pPr>
              <w:spacing w:before="120"/>
            </w:pPr>
            <w:r w:rsidRPr="002364E7">
              <w:t>3</w:t>
            </w:r>
            <w:r>
              <w:t xml:space="preserve">. </w:t>
            </w:r>
            <w:r w:rsidRPr="002364E7">
              <w:t>We have smart solutions for a sustainable future</w:t>
            </w:r>
          </w:p>
        </w:tc>
        <w:tc>
          <w:tcPr>
            <w:tcW w:w="5768" w:type="dxa"/>
            <w:tcBorders>
              <w:top w:val="single" w:sz="4" w:space="0" w:color="auto"/>
              <w:left w:val="single" w:sz="4" w:space="0" w:color="auto"/>
              <w:bottom w:val="single" w:sz="4" w:space="0" w:color="auto"/>
              <w:right w:val="single" w:sz="4" w:space="0" w:color="auto"/>
            </w:tcBorders>
            <w:hideMark/>
          </w:tcPr>
          <w:p w14:paraId="34810A62" w14:textId="77777777" w:rsidR="000A7348" w:rsidRPr="002364E7" w:rsidRDefault="000A7348" w:rsidP="005924BC">
            <w:pPr>
              <w:pStyle w:val="ListParagraph"/>
              <w:numPr>
                <w:ilvl w:val="0"/>
                <w:numId w:val="8"/>
              </w:numPr>
              <w:tabs>
                <w:tab w:val="clear" w:pos="-3060"/>
                <w:tab w:val="clear" w:pos="-2340"/>
                <w:tab w:val="clear" w:pos="6300"/>
              </w:tabs>
              <w:suppressAutoHyphens w:val="0"/>
              <w:spacing w:before="120"/>
              <w:contextualSpacing w:val="0"/>
            </w:pPr>
            <w:r w:rsidRPr="002364E7">
              <w:t>Supporting programs that improve or deliver environmentally sustainable community assets and outcomes</w:t>
            </w:r>
          </w:p>
        </w:tc>
      </w:tr>
      <w:tr w:rsidR="000A7348" w14:paraId="136CC310" w14:textId="77777777" w:rsidTr="002A1470">
        <w:tc>
          <w:tcPr>
            <w:tcW w:w="3468" w:type="dxa"/>
            <w:tcBorders>
              <w:top w:val="single" w:sz="4" w:space="0" w:color="auto"/>
              <w:left w:val="single" w:sz="4" w:space="0" w:color="auto"/>
              <w:bottom w:val="single" w:sz="4" w:space="0" w:color="auto"/>
              <w:right w:val="single" w:sz="4" w:space="0" w:color="auto"/>
            </w:tcBorders>
            <w:hideMark/>
          </w:tcPr>
          <w:p w14:paraId="12635346" w14:textId="5AEAAF75" w:rsidR="000A7348" w:rsidRPr="002364E7" w:rsidRDefault="000A7348" w:rsidP="000A7348">
            <w:pPr>
              <w:spacing w:before="120"/>
            </w:pPr>
            <w:r w:rsidRPr="002364E7">
              <w:t>4</w:t>
            </w:r>
            <w:r>
              <w:t xml:space="preserve">. </w:t>
            </w:r>
            <w:r w:rsidRPr="002364E7">
              <w:t>We are growing and keeping our character</w:t>
            </w:r>
          </w:p>
        </w:tc>
        <w:tc>
          <w:tcPr>
            <w:tcW w:w="5768" w:type="dxa"/>
            <w:tcBorders>
              <w:top w:val="single" w:sz="4" w:space="0" w:color="auto"/>
              <w:left w:val="single" w:sz="4" w:space="0" w:color="auto"/>
              <w:bottom w:val="single" w:sz="4" w:space="0" w:color="auto"/>
              <w:right w:val="single" w:sz="4" w:space="0" w:color="auto"/>
            </w:tcBorders>
            <w:hideMark/>
          </w:tcPr>
          <w:p w14:paraId="077E4D6B" w14:textId="77777777" w:rsidR="000A7348" w:rsidRPr="002364E7" w:rsidRDefault="000A7348" w:rsidP="005924BC">
            <w:pPr>
              <w:pStyle w:val="ListParagraph"/>
              <w:numPr>
                <w:ilvl w:val="0"/>
                <w:numId w:val="8"/>
              </w:numPr>
              <w:tabs>
                <w:tab w:val="clear" w:pos="-3060"/>
                <w:tab w:val="clear" w:pos="-2340"/>
                <w:tab w:val="clear" w:pos="6300"/>
              </w:tabs>
              <w:suppressAutoHyphens w:val="0"/>
              <w:spacing w:before="120"/>
              <w:contextualSpacing w:val="0"/>
            </w:pPr>
            <w:r w:rsidRPr="002364E7">
              <w:t>Facilitating supportive structures to enable advocacy of positive planning and sustainable development outcomes, alongside provision of programs and activities that respond to growth and the changing needs of our community</w:t>
            </w:r>
          </w:p>
        </w:tc>
      </w:tr>
      <w:tr w:rsidR="000A7348" w14:paraId="25A51FE3" w14:textId="77777777" w:rsidTr="00C0756E">
        <w:tc>
          <w:tcPr>
            <w:tcW w:w="3468" w:type="dxa"/>
            <w:tcBorders>
              <w:top w:val="single" w:sz="4" w:space="0" w:color="auto"/>
              <w:left w:val="single" w:sz="4" w:space="0" w:color="auto"/>
              <w:bottom w:val="single" w:sz="4" w:space="0" w:color="auto"/>
              <w:right w:val="single" w:sz="4" w:space="0" w:color="auto"/>
            </w:tcBorders>
            <w:hideMark/>
          </w:tcPr>
          <w:p w14:paraId="36CE56BF" w14:textId="7973674A" w:rsidR="000A7348" w:rsidRPr="002364E7" w:rsidRDefault="000A7348" w:rsidP="000A7348">
            <w:pPr>
              <w:spacing w:before="120"/>
            </w:pPr>
            <w:r w:rsidRPr="002364E7">
              <w:t>5</w:t>
            </w:r>
            <w:r>
              <w:t xml:space="preserve">. </w:t>
            </w:r>
            <w:r w:rsidRPr="002364E7">
              <w:t>We thrive by harnessing creativity</w:t>
            </w:r>
          </w:p>
        </w:tc>
        <w:tc>
          <w:tcPr>
            <w:tcW w:w="5768" w:type="dxa"/>
            <w:tcBorders>
              <w:top w:val="single" w:sz="4" w:space="0" w:color="auto"/>
              <w:left w:val="single" w:sz="4" w:space="0" w:color="auto"/>
              <w:bottom w:val="single" w:sz="4" w:space="0" w:color="auto"/>
              <w:right w:val="single" w:sz="4" w:space="0" w:color="auto"/>
            </w:tcBorders>
            <w:hideMark/>
          </w:tcPr>
          <w:p w14:paraId="24E2A372" w14:textId="77777777" w:rsidR="000A7348" w:rsidRPr="002364E7" w:rsidRDefault="000A7348" w:rsidP="005924BC">
            <w:pPr>
              <w:pStyle w:val="ListParagraph"/>
              <w:numPr>
                <w:ilvl w:val="0"/>
                <w:numId w:val="8"/>
              </w:numPr>
              <w:tabs>
                <w:tab w:val="clear" w:pos="-3060"/>
                <w:tab w:val="clear" w:pos="-2340"/>
                <w:tab w:val="clear" w:pos="6300"/>
              </w:tabs>
              <w:suppressAutoHyphens w:val="0"/>
              <w:spacing w:before="120"/>
              <w:contextualSpacing w:val="0"/>
            </w:pPr>
            <w:r w:rsidRPr="002364E7">
              <w:t>Providing frameworks and supporting the community organisations that facilitates a network of active and informed communities that support and encourage opportunities for creative endeavours</w:t>
            </w:r>
          </w:p>
        </w:tc>
      </w:tr>
      <w:tr w:rsidR="000A7348" w14:paraId="1BC52E67" w14:textId="77777777" w:rsidTr="00DB243D">
        <w:tc>
          <w:tcPr>
            <w:tcW w:w="3468" w:type="dxa"/>
            <w:tcBorders>
              <w:top w:val="single" w:sz="4" w:space="0" w:color="auto"/>
              <w:left w:val="single" w:sz="4" w:space="0" w:color="auto"/>
              <w:bottom w:val="single" w:sz="4" w:space="0" w:color="auto"/>
              <w:right w:val="single" w:sz="4" w:space="0" w:color="auto"/>
            </w:tcBorders>
            <w:hideMark/>
          </w:tcPr>
          <w:p w14:paraId="03DB6A35" w14:textId="758C3781" w:rsidR="000A7348" w:rsidRPr="002364E7" w:rsidRDefault="000A7348" w:rsidP="000A7348">
            <w:pPr>
              <w:spacing w:before="120"/>
            </w:pPr>
            <w:r w:rsidRPr="002364E7">
              <w:t>6</w:t>
            </w:r>
            <w:r>
              <w:t xml:space="preserve">. </w:t>
            </w:r>
            <w:r w:rsidRPr="002364E7">
              <w:t>Our commitment to you</w:t>
            </w:r>
          </w:p>
        </w:tc>
        <w:tc>
          <w:tcPr>
            <w:tcW w:w="5768" w:type="dxa"/>
            <w:tcBorders>
              <w:top w:val="single" w:sz="4" w:space="0" w:color="auto"/>
              <w:left w:val="single" w:sz="4" w:space="0" w:color="auto"/>
              <w:bottom w:val="single" w:sz="4" w:space="0" w:color="auto"/>
              <w:right w:val="single" w:sz="4" w:space="0" w:color="auto"/>
            </w:tcBorders>
            <w:hideMark/>
          </w:tcPr>
          <w:p w14:paraId="138621A3" w14:textId="77777777" w:rsidR="000A7348" w:rsidRPr="002364E7" w:rsidRDefault="000A7348" w:rsidP="005924BC">
            <w:pPr>
              <w:pStyle w:val="ListParagraph"/>
              <w:numPr>
                <w:ilvl w:val="0"/>
                <w:numId w:val="8"/>
              </w:numPr>
              <w:tabs>
                <w:tab w:val="clear" w:pos="-3060"/>
                <w:tab w:val="clear" w:pos="-2340"/>
                <w:tab w:val="clear" w:pos="6300"/>
              </w:tabs>
              <w:suppressAutoHyphens w:val="0"/>
              <w:spacing w:before="120"/>
              <w:contextualSpacing w:val="0"/>
            </w:pPr>
            <w:r w:rsidRPr="002364E7">
              <w:t>Ensuring transparency and placing a high value on open and transparent communication and collaborative engagement with the community</w:t>
            </w:r>
          </w:p>
        </w:tc>
      </w:tr>
    </w:tbl>
    <w:p w14:paraId="7691E421" w14:textId="77777777" w:rsidR="005924BC" w:rsidRDefault="005924BC" w:rsidP="005924BC">
      <w:pPr>
        <w:rPr>
          <w:rFonts w:ascii="Gill Sans MT" w:hAnsi="Gill Sans MT"/>
        </w:rPr>
      </w:pPr>
      <w:r>
        <w:rPr>
          <w:rFonts w:ascii="Gill Sans MT" w:hAnsi="Gill Sans MT"/>
        </w:rPr>
        <w:br w:type="page"/>
      </w:r>
    </w:p>
    <w:p w14:paraId="55E9C777" w14:textId="77777777" w:rsidR="005924BC" w:rsidRDefault="00C552DF" w:rsidP="006F35F2">
      <w:pPr>
        <w:pStyle w:val="Heading2"/>
        <w:rPr>
          <w:rFonts w:ascii="Gill Sans MT" w:hAnsi="Gill Sans MT"/>
          <w:lang w:eastAsia="en-US"/>
        </w:rPr>
      </w:pPr>
      <w:bookmarkStart w:id="9" w:name="_Toc16760187"/>
      <w:r>
        <w:lastRenderedPageBreak/>
        <w:t>Guiding principles</w:t>
      </w:r>
      <w:bookmarkEnd w:id="9"/>
    </w:p>
    <w:p w14:paraId="0495F547" w14:textId="77777777" w:rsidR="005924BC" w:rsidRPr="002364E7" w:rsidRDefault="005924BC" w:rsidP="005924BC">
      <w:r w:rsidRPr="002364E7">
        <w:t xml:space="preserve">The following guiding principles underpin best practice in funding and grants management and administration at the City of Port Phillip and apply throughout the Funding Lifecycle (see Appendix A). These principles support the Council’s commitment to improve and protect the health and wellbeing of the community </w:t>
      </w:r>
    </w:p>
    <w:p w14:paraId="07EF5E7E" w14:textId="77777777" w:rsidR="005924BC" w:rsidRPr="002364E7" w:rsidRDefault="005924BC" w:rsidP="005924BC">
      <w:pPr>
        <w:pStyle w:val="ListParagraph"/>
        <w:numPr>
          <w:ilvl w:val="1"/>
          <w:numId w:val="6"/>
        </w:numPr>
        <w:tabs>
          <w:tab w:val="clear" w:pos="-3060"/>
          <w:tab w:val="clear" w:pos="-2340"/>
          <w:tab w:val="clear" w:pos="6300"/>
        </w:tabs>
        <w:suppressAutoHyphens w:val="0"/>
        <w:spacing w:before="120"/>
        <w:ind w:left="811" w:hanging="454"/>
        <w:contextualSpacing w:val="0"/>
      </w:pPr>
      <w:r w:rsidRPr="002364E7">
        <w:rPr>
          <w:b/>
          <w:bCs/>
        </w:rPr>
        <w:t>Social Justice</w:t>
      </w:r>
      <w:r w:rsidRPr="002364E7">
        <w:t xml:space="preserve"> – Our funding approach encompasses the key values of social justice that aim to decrease inequity and establish environments that are inclusive, connected, supportive of all people and improve areas of social isolation.</w:t>
      </w:r>
    </w:p>
    <w:p w14:paraId="0508B602" w14:textId="77777777" w:rsidR="005924BC" w:rsidRPr="002364E7" w:rsidRDefault="005924BC" w:rsidP="005924BC">
      <w:pPr>
        <w:pStyle w:val="ListParagraph"/>
        <w:numPr>
          <w:ilvl w:val="1"/>
          <w:numId w:val="6"/>
        </w:numPr>
        <w:tabs>
          <w:tab w:val="clear" w:pos="-3060"/>
          <w:tab w:val="clear" w:pos="-2340"/>
          <w:tab w:val="clear" w:pos="6300"/>
        </w:tabs>
        <w:suppressAutoHyphens w:val="0"/>
        <w:spacing w:before="120"/>
        <w:ind w:left="811" w:hanging="454"/>
        <w:contextualSpacing w:val="0"/>
      </w:pPr>
      <w:r w:rsidRPr="002364E7">
        <w:rPr>
          <w:b/>
          <w:bCs/>
        </w:rPr>
        <w:t>Sustainability</w:t>
      </w:r>
      <w:r w:rsidRPr="002364E7">
        <w:t xml:space="preserve"> – We support and encourage:</w:t>
      </w:r>
    </w:p>
    <w:p w14:paraId="3A3B20FA" w14:textId="77777777" w:rsidR="005924BC" w:rsidRPr="002364E7" w:rsidRDefault="005924BC" w:rsidP="005924BC">
      <w:pPr>
        <w:pStyle w:val="ListParagraph"/>
        <w:numPr>
          <w:ilvl w:val="0"/>
          <w:numId w:val="9"/>
        </w:numPr>
        <w:tabs>
          <w:tab w:val="clear" w:pos="-3060"/>
          <w:tab w:val="clear" w:pos="-2340"/>
          <w:tab w:val="clear" w:pos="6300"/>
        </w:tabs>
        <w:suppressAutoHyphens w:val="0"/>
        <w:spacing w:before="120"/>
        <w:ind w:left="1418"/>
        <w:contextualSpacing w:val="0"/>
      </w:pPr>
      <w:r w:rsidRPr="002364E7">
        <w:t>environmentally sustainable practices in the way we manage our funding</w:t>
      </w:r>
    </w:p>
    <w:p w14:paraId="096CDDC8" w14:textId="77777777" w:rsidR="005924BC" w:rsidRPr="002364E7" w:rsidRDefault="005924BC" w:rsidP="005924BC">
      <w:pPr>
        <w:pStyle w:val="ListParagraph"/>
        <w:numPr>
          <w:ilvl w:val="0"/>
          <w:numId w:val="9"/>
        </w:numPr>
        <w:tabs>
          <w:tab w:val="clear" w:pos="-3060"/>
          <w:tab w:val="clear" w:pos="-2340"/>
          <w:tab w:val="clear" w:pos="6300"/>
        </w:tabs>
        <w:suppressAutoHyphens w:val="0"/>
        <w:spacing w:before="120"/>
        <w:ind w:left="1418"/>
        <w:contextualSpacing w:val="0"/>
      </w:pPr>
      <w:r w:rsidRPr="002364E7">
        <w:t>the applicatio</w:t>
      </w:r>
      <w:r w:rsidR="003620FB" w:rsidRPr="002364E7">
        <w:t>n of sustainable approaches to c</w:t>
      </w:r>
      <w:r w:rsidRPr="002364E7">
        <w:t>ommunity funded projects and services</w:t>
      </w:r>
    </w:p>
    <w:p w14:paraId="3084F5A8" w14:textId="77777777" w:rsidR="005924BC" w:rsidRPr="002364E7" w:rsidRDefault="005924BC" w:rsidP="005924BC">
      <w:pPr>
        <w:pStyle w:val="ListParagraph"/>
        <w:numPr>
          <w:ilvl w:val="0"/>
          <w:numId w:val="9"/>
        </w:numPr>
        <w:tabs>
          <w:tab w:val="clear" w:pos="-3060"/>
          <w:tab w:val="clear" w:pos="-2340"/>
          <w:tab w:val="clear" w:pos="6300"/>
        </w:tabs>
        <w:suppressAutoHyphens w:val="0"/>
        <w:spacing w:before="120"/>
        <w:ind w:left="1418"/>
        <w:contextualSpacing w:val="0"/>
      </w:pPr>
      <w:r w:rsidRPr="002364E7">
        <w:t>building business models that support and assist the long-term future of community organisations</w:t>
      </w:r>
    </w:p>
    <w:p w14:paraId="77D10A1D" w14:textId="77777777" w:rsidR="005924BC" w:rsidRPr="002364E7" w:rsidRDefault="005924BC" w:rsidP="005924BC">
      <w:pPr>
        <w:pStyle w:val="ListParagraph"/>
        <w:numPr>
          <w:ilvl w:val="0"/>
          <w:numId w:val="9"/>
        </w:numPr>
        <w:tabs>
          <w:tab w:val="clear" w:pos="-3060"/>
          <w:tab w:val="clear" w:pos="-2340"/>
          <w:tab w:val="clear" w:pos="6300"/>
        </w:tabs>
        <w:suppressAutoHyphens w:val="0"/>
        <w:spacing w:before="120"/>
        <w:ind w:left="1418"/>
        <w:contextualSpacing w:val="0"/>
      </w:pPr>
      <w:r w:rsidRPr="002364E7">
        <w:t>considera</w:t>
      </w:r>
      <w:r w:rsidR="003620FB" w:rsidRPr="002364E7">
        <w:t>tion of localised responses to c</w:t>
      </w:r>
      <w:r w:rsidRPr="002364E7">
        <w:t xml:space="preserve">ommunity funded projects and services  </w:t>
      </w:r>
    </w:p>
    <w:p w14:paraId="297E03CE" w14:textId="77777777" w:rsidR="005924BC" w:rsidRPr="002364E7" w:rsidRDefault="005924BC" w:rsidP="005924BC">
      <w:pPr>
        <w:pStyle w:val="ListParagraph"/>
        <w:numPr>
          <w:ilvl w:val="1"/>
          <w:numId w:val="6"/>
        </w:numPr>
        <w:tabs>
          <w:tab w:val="clear" w:pos="-3060"/>
          <w:tab w:val="clear" w:pos="-2340"/>
          <w:tab w:val="clear" w:pos="6300"/>
        </w:tabs>
        <w:suppressAutoHyphens w:val="0"/>
        <w:spacing w:before="120"/>
        <w:ind w:left="811" w:hanging="454"/>
        <w:contextualSpacing w:val="0"/>
      </w:pPr>
      <w:r w:rsidRPr="002364E7">
        <w:rPr>
          <w:b/>
          <w:bCs/>
        </w:rPr>
        <w:t>Robust planning and design</w:t>
      </w:r>
      <w:r w:rsidRPr="002364E7">
        <w:t xml:space="preserve"> – Our funding administration is efficient, effective and ethical, which includes an evidence based approach and the establishment of effective risk management processes.</w:t>
      </w:r>
    </w:p>
    <w:p w14:paraId="6264C6AF" w14:textId="77777777" w:rsidR="005924BC" w:rsidRPr="002364E7" w:rsidRDefault="005924BC" w:rsidP="005924BC">
      <w:pPr>
        <w:pStyle w:val="ListParagraph"/>
        <w:numPr>
          <w:ilvl w:val="1"/>
          <w:numId w:val="6"/>
        </w:numPr>
        <w:tabs>
          <w:tab w:val="clear" w:pos="-3060"/>
          <w:tab w:val="clear" w:pos="-2340"/>
          <w:tab w:val="clear" w:pos="6300"/>
        </w:tabs>
        <w:suppressAutoHyphens w:val="0"/>
        <w:spacing w:before="120"/>
        <w:ind w:left="811" w:hanging="454"/>
        <w:contextualSpacing w:val="0"/>
      </w:pPr>
      <w:r w:rsidRPr="002364E7">
        <w:rPr>
          <w:b/>
          <w:bCs/>
        </w:rPr>
        <w:t>Proportionality</w:t>
      </w:r>
      <w:r w:rsidRPr="002364E7">
        <w:t xml:space="preserve">  - Our program design and administrative processes are commensurate to the scale, complexity and risks associated with the funding.</w:t>
      </w:r>
    </w:p>
    <w:p w14:paraId="4F27010A" w14:textId="77777777" w:rsidR="005924BC" w:rsidRPr="002364E7" w:rsidRDefault="005924BC" w:rsidP="005924BC">
      <w:pPr>
        <w:pStyle w:val="ListParagraph"/>
        <w:numPr>
          <w:ilvl w:val="1"/>
          <w:numId w:val="6"/>
        </w:numPr>
        <w:tabs>
          <w:tab w:val="clear" w:pos="-3060"/>
          <w:tab w:val="clear" w:pos="-2340"/>
          <w:tab w:val="clear" w:pos="6300"/>
        </w:tabs>
        <w:suppressAutoHyphens w:val="0"/>
        <w:spacing w:before="120"/>
        <w:ind w:left="811" w:hanging="454"/>
        <w:contextualSpacing w:val="0"/>
      </w:pPr>
      <w:r w:rsidRPr="002364E7">
        <w:rPr>
          <w:b/>
          <w:bCs/>
        </w:rPr>
        <w:t>Governance and Accountability</w:t>
      </w:r>
      <w:r w:rsidRPr="002364E7">
        <w:t xml:space="preserve"> – We have a robust governance framework in place that:</w:t>
      </w:r>
    </w:p>
    <w:p w14:paraId="265FB1D4" w14:textId="77777777" w:rsidR="005924BC" w:rsidRPr="002364E7" w:rsidRDefault="003620FB" w:rsidP="005924BC">
      <w:pPr>
        <w:pStyle w:val="ListParagraph"/>
        <w:numPr>
          <w:ilvl w:val="0"/>
          <w:numId w:val="10"/>
        </w:numPr>
        <w:tabs>
          <w:tab w:val="clear" w:pos="-3060"/>
          <w:tab w:val="clear" w:pos="-2340"/>
          <w:tab w:val="clear" w:pos="6300"/>
        </w:tabs>
        <w:suppressAutoHyphens w:val="0"/>
        <w:spacing w:before="120"/>
        <w:ind w:left="1418" w:hanging="284"/>
        <w:contextualSpacing w:val="0"/>
      </w:pPr>
      <w:r w:rsidRPr="002364E7">
        <w:t>defines Council and c</w:t>
      </w:r>
      <w:r w:rsidR="005924BC" w:rsidRPr="002364E7">
        <w:t>ommunity roles, responsibilities and accountabilities</w:t>
      </w:r>
    </w:p>
    <w:p w14:paraId="4035D9A6" w14:textId="77777777" w:rsidR="005924BC" w:rsidRPr="002364E7" w:rsidRDefault="005924BC" w:rsidP="005924BC">
      <w:pPr>
        <w:pStyle w:val="ListParagraph"/>
        <w:numPr>
          <w:ilvl w:val="0"/>
          <w:numId w:val="10"/>
        </w:numPr>
        <w:tabs>
          <w:tab w:val="clear" w:pos="-3060"/>
          <w:tab w:val="clear" w:pos="-2340"/>
          <w:tab w:val="clear" w:pos="6300"/>
        </w:tabs>
        <w:suppressAutoHyphens w:val="0"/>
        <w:spacing w:before="120"/>
        <w:ind w:left="1418" w:hanging="284"/>
        <w:contextualSpacing w:val="0"/>
      </w:pPr>
      <w:r w:rsidRPr="002364E7">
        <w:t>establishes the policies, procedures and guidelines necessary for funding recipient selection</w:t>
      </w:r>
    </w:p>
    <w:p w14:paraId="6CEB81A7" w14:textId="77777777" w:rsidR="005924BC" w:rsidRPr="002364E7" w:rsidRDefault="005924BC" w:rsidP="005924BC">
      <w:pPr>
        <w:pStyle w:val="ListParagraph"/>
        <w:numPr>
          <w:ilvl w:val="0"/>
          <w:numId w:val="10"/>
        </w:numPr>
        <w:tabs>
          <w:tab w:val="clear" w:pos="-3060"/>
          <w:tab w:val="clear" w:pos="-2340"/>
          <w:tab w:val="clear" w:pos="6300"/>
        </w:tabs>
        <w:suppressAutoHyphens w:val="0"/>
        <w:spacing w:before="120"/>
        <w:ind w:left="1418" w:hanging="284"/>
        <w:contextualSpacing w:val="0"/>
      </w:pPr>
      <w:r w:rsidRPr="002364E7">
        <w:t>supports public accountability for decision making, funding administration and performance monitoring.</w:t>
      </w:r>
    </w:p>
    <w:p w14:paraId="21D9E765" w14:textId="77777777" w:rsidR="005924BC" w:rsidRPr="002364E7" w:rsidRDefault="005924BC" w:rsidP="005924BC">
      <w:pPr>
        <w:pStyle w:val="ListParagraph"/>
        <w:numPr>
          <w:ilvl w:val="1"/>
          <w:numId w:val="6"/>
        </w:numPr>
        <w:tabs>
          <w:tab w:val="clear" w:pos="-3060"/>
          <w:tab w:val="clear" w:pos="-2340"/>
          <w:tab w:val="clear" w:pos="6300"/>
        </w:tabs>
        <w:suppressAutoHyphens w:val="0"/>
        <w:spacing w:before="120"/>
        <w:ind w:left="811" w:hanging="454"/>
        <w:contextualSpacing w:val="0"/>
      </w:pPr>
      <w:r w:rsidRPr="002364E7">
        <w:rPr>
          <w:b/>
          <w:bCs/>
        </w:rPr>
        <w:t>Probity and transparency</w:t>
      </w:r>
      <w:r w:rsidRPr="002364E7">
        <w:t xml:space="preserve"> – Our program administration reflects public sector values, ensuring that our funding decisions are impartial, transparent and well documented, and that appropriate measurement, reporting and fraud measures are in place.</w:t>
      </w:r>
    </w:p>
    <w:p w14:paraId="3F8ECDC1" w14:textId="77777777" w:rsidR="005924BC" w:rsidRPr="002364E7" w:rsidRDefault="005924BC" w:rsidP="005924BC">
      <w:pPr>
        <w:pStyle w:val="ListParagraph"/>
        <w:numPr>
          <w:ilvl w:val="1"/>
          <w:numId w:val="6"/>
        </w:numPr>
        <w:tabs>
          <w:tab w:val="clear" w:pos="-3060"/>
          <w:tab w:val="clear" w:pos="-2340"/>
          <w:tab w:val="clear" w:pos="6300"/>
        </w:tabs>
        <w:suppressAutoHyphens w:val="0"/>
        <w:spacing w:before="120"/>
        <w:ind w:left="811" w:hanging="454"/>
        <w:contextualSpacing w:val="0"/>
      </w:pPr>
      <w:r w:rsidRPr="002364E7">
        <w:rPr>
          <w:b/>
          <w:bCs/>
        </w:rPr>
        <w:t>Maximise outcomes</w:t>
      </w:r>
      <w:r w:rsidRPr="002364E7">
        <w:t xml:space="preserve"> – Our funded programs are aligned with our strategic directions to deliver maximum value for money and the best possible outcomes for the community.</w:t>
      </w:r>
    </w:p>
    <w:p w14:paraId="64784A90" w14:textId="77777777" w:rsidR="005924BC" w:rsidRPr="002364E7" w:rsidRDefault="005924BC" w:rsidP="005924BC">
      <w:pPr>
        <w:pStyle w:val="ListParagraph"/>
        <w:numPr>
          <w:ilvl w:val="1"/>
          <w:numId w:val="6"/>
        </w:numPr>
        <w:tabs>
          <w:tab w:val="clear" w:pos="-3060"/>
          <w:tab w:val="clear" w:pos="-2340"/>
          <w:tab w:val="clear" w:pos="6300"/>
        </w:tabs>
        <w:suppressAutoHyphens w:val="0"/>
        <w:spacing w:before="120"/>
        <w:ind w:left="811" w:hanging="454"/>
        <w:contextualSpacing w:val="0"/>
      </w:pPr>
      <w:r w:rsidRPr="002364E7">
        <w:rPr>
          <w:b/>
          <w:bCs/>
        </w:rPr>
        <w:t>Positive working relationships</w:t>
      </w:r>
      <w:r w:rsidRPr="002364E7">
        <w:t xml:space="preserve"> – We place a high value on cultivating relationships that focus on trust, transparency and partnerships to achieve optimum outcomes.</w:t>
      </w:r>
    </w:p>
    <w:p w14:paraId="75D17444" w14:textId="77777777" w:rsidR="005924BC" w:rsidRPr="002364E7" w:rsidRDefault="005924BC" w:rsidP="005924BC">
      <w:pPr>
        <w:pStyle w:val="ListParagraph"/>
        <w:numPr>
          <w:ilvl w:val="1"/>
          <w:numId w:val="6"/>
        </w:numPr>
        <w:tabs>
          <w:tab w:val="clear" w:pos="-3060"/>
          <w:tab w:val="clear" w:pos="-2340"/>
          <w:tab w:val="clear" w:pos="6300"/>
        </w:tabs>
        <w:suppressAutoHyphens w:val="0"/>
        <w:spacing w:before="120"/>
        <w:ind w:left="811" w:hanging="454"/>
        <w:contextualSpacing w:val="0"/>
      </w:pPr>
      <w:r w:rsidRPr="002364E7">
        <w:rPr>
          <w:b/>
          <w:bCs/>
        </w:rPr>
        <w:t>Flexibility and responsiveness</w:t>
      </w:r>
      <w:r w:rsidRPr="002364E7">
        <w:t xml:space="preserve"> – Our programs respond to changing economic indicators, business, environment and community needs.</w:t>
      </w:r>
    </w:p>
    <w:p w14:paraId="7F663B80" w14:textId="77777777" w:rsidR="005924BC" w:rsidRDefault="005924BC" w:rsidP="006F35F2">
      <w:pPr>
        <w:pStyle w:val="Heading2"/>
      </w:pPr>
      <w:r>
        <w:br w:type="page"/>
      </w:r>
      <w:bookmarkStart w:id="10" w:name="_Toc380755460"/>
      <w:bookmarkStart w:id="11" w:name="_Toc16760188"/>
      <w:r>
        <w:lastRenderedPageBreak/>
        <w:t>D</w:t>
      </w:r>
      <w:bookmarkEnd w:id="10"/>
      <w:r w:rsidR="00C552DF">
        <w:t>efinitions</w:t>
      </w:r>
      <w:bookmarkEnd w:id="11"/>
    </w:p>
    <w:p w14:paraId="1005A5CC" w14:textId="77777777" w:rsidR="005924BC" w:rsidRPr="002364E7" w:rsidRDefault="005924BC" w:rsidP="005924BC">
      <w:pPr>
        <w:spacing w:before="60" w:after="60"/>
      </w:pPr>
      <w:r w:rsidRPr="002364E7">
        <w:t>Key terms and definitions used throughout this document are shown in the table below and are consistently applied across the City of Port Phillip and the Funding Management Framework.</w:t>
      </w:r>
    </w:p>
    <w:p w14:paraId="43B6462C" w14:textId="77777777" w:rsidR="005924BC" w:rsidRPr="002364E7" w:rsidRDefault="005924BC" w:rsidP="005924BC">
      <w:pPr>
        <w:spacing w:before="60" w:after="60"/>
      </w:pPr>
    </w:p>
    <w:tbl>
      <w:tblPr>
        <w:tblStyle w:val="TableGrid11"/>
        <w:tblW w:w="0" w:type="auto"/>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Description w:val="Key terms and their definitions as used through this document and across the City of Port Phillip."/>
      </w:tblPr>
      <w:tblGrid>
        <w:gridCol w:w="2410"/>
        <w:gridCol w:w="7542"/>
      </w:tblGrid>
      <w:tr w:rsidR="00DA44EC" w:rsidRPr="002364E7" w14:paraId="3704A6B5" w14:textId="77777777" w:rsidTr="00DA44EC">
        <w:trPr>
          <w:tblHeader/>
        </w:trPr>
        <w:tc>
          <w:tcPr>
            <w:tcW w:w="2410" w:type="dxa"/>
            <w:tcBorders>
              <w:top w:val="single" w:sz="4" w:space="0" w:color="auto"/>
              <w:left w:val="nil"/>
              <w:bottom w:val="single" w:sz="4" w:space="0" w:color="auto"/>
              <w:right w:val="nil"/>
            </w:tcBorders>
          </w:tcPr>
          <w:p w14:paraId="42AECF44" w14:textId="77777777" w:rsidR="00DA44EC" w:rsidRPr="00DA44EC" w:rsidRDefault="00DA44EC" w:rsidP="00DA44EC">
            <w:pPr>
              <w:spacing w:before="60" w:after="60"/>
              <w:jc w:val="center"/>
              <w:rPr>
                <w:b/>
              </w:rPr>
            </w:pPr>
            <w:r w:rsidRPr="00DA44EC">
              <w:rPr>
                <w:b/>
              </w:rPr>
              <w:t>Term</w:t>
            </w:r>
          </w:p>
        </w:tc>
        <w:tc>
          <w:tcPr>
            <w:tcW w:w="7542" w:type="dxa"/>
            <w:tcBorders>
              <w:top w:val="single" w:sz="4" w:space="0" w:color="auto"/>
              <w:left w:val="nil"/>
              <w:bottom w:val="single" w:sz="4" w:space="0" w:color="auto"/>
              <w:right w:val="nil"/>
            </w:tcBorders>
            <w:vAlign w:val="center"/>
          </w:tcPr>
          <w:p w14:paraId="47522FE8" w14:textId="77777777" w:rsidR="00DA44EC" w:rsidRPr="00DA44EC" w:rsidRDefault="00DA44EC" w:rsidP="00DA44EC">
            <w:pPr>
              <w:spacing w:before="60" w:after="60"/>
              <w:jc w:val="center"/>
              <w:rPr>
                <w:b/>
              </w:rPr>
            </w:pPr>
            <w:r w:rsidRPr="00DA44EC">
              <w:rPr>
                <w:b/>
              </w:rPr>
              <w:t>Definition</w:t>
            </w:r>
          </w:p>
        </w:tc>
      </w:tr>
      <w:tr w:rsidR="005924BC" w:rsidRPr="002364E7" w14:paraId="39C25D06" w14:textId="77777777" w:rsidTr="005924BC">
        <w:tc>
          <w:tcPr>
            <w:tcW w:w="2410" w:type="dxa"/>
            <w:tcBorders>
              <w:top w:val="single" w:sz="4" w:space="0" w:color="auto"/>
              <w:left w:val="nil"/>
              <w:bottom w:val="single" w:sz="4" w:space="0" w:color="auto"/>
              <w:right w:val="nil"/>
            </w:tcBorders>
            <w:hideMark/>
          </w:tcPr>
          <w:p w14:paraId="487C35E9" w14:textId="77777777" w:rsidR="005924BC" w:rsidRPr="002364E7" w:rsidRDefault="005924BC">
            <w:pPr>
              <w:spacing w:before="60" w:after="60"/>
            </w:pPr>
            <w:r w:rsidRPr="002364E7">
              <w:t>Assessment Criteria</w:t>
            </w:r>
          </w:p>
        </w:tc>
        <w:tc>
          <w:tcPr>
            <w:tcW w:w="7542" w:type="dxa"/>
            <w:tcBorders>
              <w:top w:val="single" w:sz="4" w:space="0" w:color="auto"/>
              <w:left w:val="nil"/>
              <w:bottom w:val="single" w:sz="4" w:space="0" w:color="auto"/>
              <w:right w:val="nil"/>
            </w:tcBorders>
            <w:vAlign w:val="center"/>
            <w:hideMark/>
          </w:tcPr>
          <w:p w14:paraId="602D0269" w14:textId="77777777" w:rsidR="005924BC" w:rsidRPr="002364E7" w:rsidRDefault="005924BC">
            <w:pPr>
              <w:spacing w:before="60" w:after="60"/>
            </w:pPr>
            <w:r w:rsidRPr="002364E7">
              <w:t>The specified principles or standards against which applications are judged and used to assess the merits of proposals.</w:t>
            </w:r>
          </w:p>
        </w:tc>
      </w:tr>
      <w:tr w:rsidR="005924BC" w:rsidRPr="002364E7" w14:paraId="40082EE1" w14:textId="77777777" w:rsidTr="005924BC">
        <w:tc>
          <w:tcPr>
            <w:tcW w:w="2410" w:type="dxa"/>
            <w:tcBorders>
              <w:top w:val="single" w:sz="4" w:space="0" w:color="auto"/>
              <w:left w:val="nil"/>
              <w:bottom w:val="single" w:sz="4" w:space="0" w:color="auto"/>
              <w:right w:val="nil"/>
            </w:tcBorders>
            <w:hideMark/>
          </w:tcPr>
          <w:p w14:paraId="707771B7" w14:textId="77777777" w:rsidR="005924BC" w:rsidRPr="002364E7" w:rsidRDefault="005924BC">
            <w:pPr>
              <w:spacing w:before="60" w:after="60"/>
            </w:pPr>
            <w:r w:rsidRPr="002364E7">
              <w:t>Assessment Process</w:t>
            </w:r>
          </w:p>
        </w:tc>
        <w:tc>
          <w:tcPr>
            <w:tcW w:w="7542" w:type="dxa"/>
            <w:tcBorders>
              <w:top w:val="single" w:sz="4" w:space="0" w:color="auto"/>
              <w:left w:val="nil"/>
              <w:bottom w:val="single" w:sz="4" w:space="0" w:color="auto"/>
              <w:right w:val="nil"/>
            </w:tcBorders>
            <w:vAlign w:val="center"/>
            <w:hideMark/>
          </w:tcPr>
          <w:p w14:paraId="31525EB6" w14:textId="77777777" w:rsidR="005924BC" w:rsidRPr="002364E7" w:rsidRDefault="005924BC">
            <w:pPr>
              <w:spacing w:before="60" w:after="60"/>
            </w:pPr>
            <w:r w:rsidRPr="002364E7">
              <w:t xml:space="preserve">The steps that </w:t>
            </w:r>
            <w:r w:rsidR="00D8602D">
              <w:t xml:space="preserve">must be followed by individuals and </w:t>
            </w:r>
            <w:r w:rsidRPr="002364E7">
              <w:t>organisations to be considered for a grant.  It includes the forms, written documentation and the eligibility and assessment criteria to be satisfied.</w:t>
            </w:r>
          </w:p>
        </w:tc>
      </w:tr>
      <w:tr w:rsidR="005924BC" w:rsidRPr="002364E7" w14:paraId="3A1C82EF" w14:textId="77777777" w:rsidTr="005924BC">
        <w:tc>
          <w:tcPr>
            <w:tcW w:w="2410" w:type="dxa"/>
            <w:tcBorders>
              <w:top w:val="single" w:sz="4" w:space="0" w:color="auto"/>
              <w:left w:val="nil"/>
              <w:bottom w:val="single" w:sz="4" w:space="0" w:color="auto"/>
              <w:right w:val="nil"/>
            </w:tcBorders>
            <w:hideMark/>
          </w:tcPr>
          <w:p w14:paraId="14FB4183" w14:textId="77777777" w:rsidR="005924BC" w:rsidRPr="002364E7" w:rsidRDefault="003620FB">
            <w:pPr>
              <w:spacing w:before="60" w:after="60"/>
            </w:pPr>
            <w:r w:rsidRPr="002364E7">
              <w:t>Community O</w:t>
            </w:r>
            <w:r w:rsidR="005924BC" w:rsidRPr="002364E7">
              <w:t>rganisation</w:t>
            </w:r>
          </w:p>
        </w:tc>
        <w:tc>
          <w:tcPr>
            <w:tcW w:w="7542" w:type="dxa"/>
            <w:tcBorders>
              <w:top w:val="single" w:sz="4" w:space="0" w:color="auto"/>
              <w:left w:val="nil"/>
              <w:bottom w:val="single" w:sz="4" w:space="0" w:color="auto"/>
              <w:right w:val="nil"/>
            </w:tcBorders>
            <w:vAlign w:val="center"/>
            <w:hideMark/>
          </w:tcPr>
          <w:p w14:paraId="060CF4EB" w14:textId="77777777" w:rsidR="005924BC" w:rsidRPr="002364E7" w:rsidRDefault="005924BC">
            <w:pPr>
              <w:spacing w:before="60" w:after="60"/>
            </w:pPr>
            <w:r w:rsidRPr="002364E7">
              <w:t>Not for profit o</w:t>
            </w:r>
            <w:r w:rsidRPr="002364E7">
              <w:rPr>
                <w:lang w:val="en-US"/>
              </w:rPr>
              <w:t>rganisations and groups that encompass a wide range of activities</w:t>
            </w:r>
            <w:r w:rsidRPr="002364E7">
              <w:t xml:space="preserve">, programs and services aimed at improving people’s quality of life. The community sector </w:t>
            </w:r>
            <w:r w:rsidRPr="002364E7">
              <w:rPr>
                <w:lang w:val="en-US"/>
              </w:rPr>
              <w:t>varies significantly in size and can range from small volunteer run and locally based groups to large national organisations with many staff (also</w:t>
            </w:r>
            <w:r w:rsidRPr="002364E7">
              <w:t xml:space="preserve"> known as community sector, not for profit organisations, or community service providers). </w:t>
            </w:r>
          </w:p>
        </w:tc>
      </w:tr>
      <w:tr w:rsidR="005924BC" w:rsidRPr="002364E7" w14:paraId="24CABDC0" w14:textId="77777777" w:rsidTr="005924BC">
        <w:tc>
          <w:tcPr>
            <w:tcW w:w="2410" w:type="dxa"/>
            <w:tcBorders>
              <w:top w:val="single" w:sz="4" w:space="0" w:color="auto"/>
              <w:left w:val="nil"/>
              <w:bottom w:val="single" w:sz="4" w:space="0" w:color="auto"/>
              <w:right w:val="nil"/>
            </w:tcBorders>
            <w:hideMark/>
          </w:tcPr>
          <w:p w14:paraId="72D7E110" w14:textId="77777777" w:rsidR="005924BC" w:rsidRPr="002364E7" w:rsidRDefault="005924BC">
            <w:pPr>
              <w:spacing w:before="60" w:after="60"/>
              <w:rPr>
                <w:lang w:val="en-US"/>
              </w:rPr>
            </w:pPr>
            <w:r w:rsidRPr="002364E7">
              <w:rPr>
                <w:lang w:val="en-US"/>
              </w:rPr>
              <w:t>Conflict of Interest</w:t>
            </w:r>
          </w:p>
        </w:tc>
        <w:tc>
          <w:tcPr>
            <w:tcW w:w="7542" w:type="dxa"/>
            <w:tcBorders>
              <w:top w:val="single" w:sz="4" w:space="0" w:color="auto"/>
              <w:left w:val="nil"/>
              <w:bottom w:val="single" w:sz="4" w:space="0" w:color="auto"/>
              <w:right w:val="nil"/>
            </w:tcBorders>
            <w:vAlign w:val="center"/>
            <w:hideMark/>
          </w:tcPr>
          <w:p w14:paraId="5EE225A3" w14:textId="77777777" w:rsidR="005924BC" w:rsidRPr="002364E7" w:rsidRDefault="005924BC">
            <w:pPr>
              <w:pStyle w:val="textbox"/>
              <w:shd w:val="clear" w:color="auto" w:fill="FFFFFF" w:themeFill="background1"/>
              <w:spacing w:before="60" w:beforeAutospacing="0" w:after="60" w:afterAutospacing="0" w:line="276" w:lineRule="auto"/>
              <w:rPr>
                <w:rFonts w:ascii="Arial" w:hAnsi="Arial"/>
                <w:sz w:val="22"/>
                <w:szCs w:val="22"/>
                <w:lang w:val="en-US" w:eastAsia="en-AU"/>
              </w:rPr>
            </w:pPr>
            <w:r w:rsidRPr="002364E7">
              <w:rPr>
                <w:rFonts w:ascii="Arial" w:hAnsi="Arial"/>
                <w:sz w:val="22"/>
                <w:szCs w:val="22"/>
                <w:lang w:val="en-US" w:eastAsia="en-AU"/>
              </w:rPr>
              <w:t xml:space="preserve">A conflict of interest arises where a person </w:t>
            </w:r>
            <w:proofErr w:type="gramStart"/>
            <w:r w:rsidRPr="002364E7">
              <w:rPr>
                <w:rFonts w:ascii="Arial" w:hAnsi="Arial"/>
                <w:sz w:val="22"/>
                <w:szCs w:val="22"/>
                <w:lang w:val="en-US" w:eastAsia="en-AU"/>
              </w:rPr>
              <w:t>makes a decision</w:t>
            </w:r>
            <w:proofErr w:type="gramEnd"/>
            <w:r w:rsidRPr="002364E7">
              <w:rPr>
                <w:rFonts w:ascii="Arial" w:hAnsi="Arial"/>
                <w:sz w:val="22"/>
                <w:szCs w:val="22"/>
                <w:lang w:val="en-US" w:eastAsia="en-AU"/>
              </w:rPr>
              <w:t xml:space="preserve"> or exercises power in a way that may be, or may be perceived to be, influenced by either material </w:t>
            </w:r>
            <w:r w:rsidR="00C97C77" w:rsidRPr="002364E7">
              <w:rPr>
                <w:rFonts w:ascii="Arial" w:hAnsi="Arial"/>
                <w:sz w:val="22"/>
                <w:szCs w:val="22"/>
                <w:lang w:val="en-US" w:eastAsia="en-AU"/>
              </w:rPr>
              <w:t>to</w:t>
            </w:r>
            <w:r w:rsidRPr="002364E7">
              <w:rPr>
                <w:rFonts w:ascii="Arial" w:hAnsi="Arial"/>
                <w:sz w:val="22"/>
                <w:szCs w:val="22"/>
                <w:lang w:val="en-US" w:eastAsia="en-AU"/>
              </w:rPr>
              <w:t xml:space="preserve"> personal interests (financial or non-financial) or material personal associations.</w:t>
            </w:r>
          </w:p>
        </w:tc>
      </w:tr>
      <w:tr w:rsidR="005924BC" w:rsidRPr="002364E7" w14:paraId="0A62242D" w14:textId="77777777" w:rsidTr="005924BC">
        <w:tc>
          <w:tcPr>
            <w:tcW w:w="2410" w:type="dxa"/>
            <w:tcBorders>
              <w:top w:val="single" w:sz="4" w:space="0" w:color="auto"/>
              <w:left w:val="nil"/>
              <w:bottom w:val="single" w:sz="4" w:space="0" w:color="auto"/>
              <w:right w:val="nil"/>
            </w:tcBorders>
          </w:tcPr>
          <w:p w14:paraId="10DE38EF" w14:textId="77777777" w:rsidR="005924BC" w:rsidRPr="002364E7" w:rsidRDefault="005924BC">
            <w:pPr>
              <w:spacing w:after="0"/>
            </w:pPr>
            <w:r w:rsidRPr="002364E7">
              <w:t>Eligibility Criteria</w:t>
            </w:r>
          </w:p>
          <w:p w14:paraId="383AD58F" w14:textId="77777777" w:rsidR="005924BC" w:rsidRPr="002364E7" w:rsidRDefault="005924BC">
            <w:pPr>
              <w:spacing w:after="0"/>
            </w:pPr>
          </w:p>
        </w:tc>
        <w:tc>
          <w:tcPr>
            <w:tcW w:w="7542" w:type="dxa"/>
            <w:tcBorders>
              <w:top w:val="single" w:sz="4" w:space="0" w:color="auto"/>
              <w:left w:val="nil"/>
              <w:bottom w:val="single" w:sz="4" w:space="0" w:color="auto"/>
              <w:right w:val="nil"/>
            </w:tcBorders>
            <w:vAlign w:val="center"/>
            <w:hideMark/>
          </w:tcPr>
          <w:p w14:paraId="441F9349" w14:textId="77777777" w:rsidR="005924BC" w:rsidRPr="002364E7" w:rsidRDefault="005924BC">
            <w:pPr>
              <w:shd w:val="clear" w:color="auto" w:fill="FFFFFF" w:themeFill="background1"/>
              <w:spacing w:after="0"/>
            </w:pPr>
            <w:r w:rsidRPr="002364E7">
              <w:t>The mandatory principles or standards that must be met for an application for funding to be considered.  Eligibility criteria may apply in addition to assessment criteria.</w:t>
            </w:r>
          </w:p>
        </w:tc>
      </w:tr>
      <w:tr w:rsidR="005924BC" w:rsidRPr="002364E7" w14:paraId="07496DBD" w14:textId="77777777" w:rsidTr="005924BC">
        <w:tc>
          <w:tcPr>
            <w:tcW w:w="2410" w:type="dxa"/>
            <w:tcBorders>
              <w:top w:val="single" w:sz="4" w:space="0" w:color="auto"/>
              <w:left w:val="nil"/>
              <w:bottom w:val="single" w:sz="4" w:space="0" w:color="auto"/>
              <w:right w:val="nil"/>
            </w:tcBorders>
          </w:tcPr>
          <w:p w14:paraId="72127EDA" w14:textId="77777777" w:rsidR="005924BC" w:rsidRPr="002364E7" w:rsidRDefault="005924BC">
            <w:pPr>
              <w:spacing w:after="0"/>
            </w:pPr>
            <w:r w:rsidRPr="002364E7">
              <w:t>Funding</w:t>
            </w:r>
          </w:p>
          <w:p w14:paraId="4A996D5A" w14:textId="77777777" w:rsidR="005924BC" w:rsidRPr="002364E7" w:rsidRDefault="005924BC">
            <w:pPr>
              <w:spacing w:after="0"/>
            </w:pPr>
          </w:p>
        </w:tc>
        <w:tc>
          <w:tcPr>
            <w:tcW w:w="7542" w:type="dxa"/>
            <w:tcBorders>
              <w:top w:val="single" w:sz="4" w:space="0" w:color="auto"/>
              <w:left w:val="nil"/>
              <w:bottom w:val="single" w:sz="4" w:space="0" w:color="auto"/>
              <w:right w:val="nil"/>
            </w:tcBorders>
            <w:vAlign w:val="center"/>
            <w:hideMark/>
          </w:tcPr>
          <w:p w14:paraId="7B04EEC8" w14:textId="77777777" w:rsidR="005924BC" w:rsidRPr="002364E7" w:rsidRDefault="005924BC">
            <w:pPr>
              <w:shd w:val="clear" w:color="auto" w:fill="FFFFFF" w:themeFill="background1"/>
              <w:spacing w:after="0"/>
            </w:pPr>
            <w:r w:rsidRPr="002364E7">
              <w:t>A sum of money or form of subsidy that Council provides to an individual or o</w:t>
            </w:r>
            <w:r w:rsidR="003620FB" w:rsidRPr="002364E7">
              <w:t>rganisation under a formalised a</w:t>
            </w:r>
            <w:r w:rsidRPr="002364E7">
              <w:t>greement.</w:t>
            </w:r>
          </w:p>
        </w:tc>
      </w:tr>
      <w:tr w:rsidR="005924BC" w:rsidRPr="002364E7" w14:paraId="014B3B16" w14:textId="77777777" w:rsidTr="005924BC">
        <w:tc>
          <w:tcPr>
            <w:tcW w:w="2410" w:type="dxa"/>
            <w:tcBorders>
              <w:top w:val="single" w:sz="4" w:space="0" w:color="auto"/>
              <w:left w:val="nil"/>
              <w:bottom w:val="single" w:sz="4" w:space="0" w:color="auto"/>
              <w:right w:val="nil"/>
            </w:tcBorders>
            <w:hideMark/>
          </w:tcPr>
          <w:p w14:paraId="2703A189" w14:textId="77777777" w:rsidR="005924BC" w:rsidRPr="002364E7" w:rsidRDefault="005924BC">
            <w:pPr>
              <w:spacing w:after="0"/>
            </w:pPr>
            <w:r w:rsidRPr="002364E7">
              <w:t>Funding Agreement</w:t>
            </w:r>
          </w:p>
        </w:tc>
        <w:tc>
          <w:tcPr>
            <w:tcW w:w="7542" w:type="dxa"/>
            <w:tcBorders>
              <w:top w:val="single" w:sz="4" w:space="0" w:color="auto"/>
              <w:left w:val="nil"/>
              <w:bottom w:val="single" w:sz="4" w:space="0" w:color="auto"/>
              <w:right w:val="nil"/>
            </w:tcBorders>
            <w:vAlign w:val="center"/>
          </w:tcPr>
          <w:p w14:paraId="5158CF3F" w14:textId="77777777" w:rsidR="005924BC" w:rsidRPr="002364E7" w:rsidRDefault="005924BC">
            <w:pPr>
              <w:shd w:val="clear" w:color="auto" w:fill="FFFFFF" w:themeFill="background1"/>
              <w:tabs>
                <w:tab w:val="left" w:pos="2835"/>
              </w:tabs>
              <w:spacing w:after="0"/>
            </w:pPr>
            <w:r w:rsidRPr="002364E7">
              <w:t>A formal, legally-binding contract established with a funding recipient, which is then used as the primary legal instrument to monitor implementation of the funded activity through to its completion.</w:t>
            </w:r>
          </w:p>
          <w:p w14:paraId="571392DB" w14:textId="77777777" w:rsidR="005924BC" w:rsidRPr="002364E7" w:rsidRDefault="005924BC">
            <w:pPr>
              <w:shd w:val="clear" w:color="auto" w:fill="FFFFFF" w:themeFill="background1"/>
              <w:tabs>
                <w:tab w:val="left" w:pos="2835"/>
              </w:tabs>
              <w:spacing w:after="0"/>
            </w:pPr>
          </w:p>
          <w:p w14:paraId="24F5B5C6" w14:textId="77777777" w:rsidR="005924BC" w:rsidRPr="002364E7" w:rsidRDefault="005924BC">
            <w:pPr>
              <w:shd w:val="clear" w:color="auto" w:fill="FFFFFF" w:themeFill="background1"/>
              <w:tabs>
                <w:tab w:val="left" w:pos="2835"/>
              </w:tabs>
              <w:spacing w:after="0"/>
            </w:pPr>
            <w:r w:rsidRPr="002364E7">
              <w:t xml:space="preserve">The funding agreement states the purpose of the funding, the financial amount, and the conditions of the funding including key deliverables.  It also defines the rights and responsibilities of the parties. Once signed, parties are under a legal obligation to comply with the stated terms and conditions.  </w:t>
            </w:r>
          </w:p>
        </w:tc>
      </w:tr>
      <w:tr w:rsidR="005924BC" w:rsidRPr="002364E7" w14:paraId="39CDB148" w14:textId="77777777" w:rsidTr="005924BC">
        <w:tc>
          <w:tcPr>
            <w:tcW w:w="2410" w:type="dxa"/>
            <w:tcBorders>
              <w:top w:val="single" w:sz="4" w:space="0" w:color="auto"/>
              <w:left w:val="nil"/>
              <w:bottom w:val="single" w:sz="4" w:space="0" w:color="auto"/>
              <w:right w:val="nil"/>
            </w:tcBorders>
            <w:hideMark/>
          </w:tcPr>
          <w:p w14:paraId="3E26596A" w14:textId="77777777" w:rsidR="005924BC" w:rsidRPr="002364E7" w:rsidRDefault="005924BC">
            <w:r w:rsidRPr="002364E7">
              <w:t>Funding - Donation</w:t>
            </w:r>
          </w:p>
        </w:tc>
        <w:tc>
          <w:tcPr>
            <w:tcW w:w="7542" w:type="dxa"/>
            <w:tcBorders>
              <w:top w:val="single" w:sz="4" w:space="0" w:color="auto"/>
              <w:left w:val="nil"/>
              <w:bottom w:val="single" w:sz="4" w:space="0" w:color="auto"/>
              <w:right w:val="nil"/>
            </w:tcBorders>
            <w:vAlign w:val="center"/>
            <w:hideMark/>
          </w:tcPr>
          <w:p w14:paraId="6041079B" w14:textId="77777777" w:rsidR="005924BC" w:rsidRPr="002364E7" w:rsidRDefault="005924BC">
            <w:pPr>
              <w:spacing w:after="0"/>
            </w:pPr>
            <w:r w:rsidRPr="002364E7">
              <w:t>An offering of cash or in-kind contribution given without any anticipated commercial return.</w:t>
            </w:r>
          </w:p>
        </w:tc>
      </w:tr>
      <w:tr w:rsidR="005924BC" w:rsidRPr="002364E7" w14:paraId="2DFCD86A" w14:textId="77777777" w:rsidTr="005924BC">
        <w:tc>
          <w:tcPr>
            <w:tcW w:w="2410" w:type="dxa"/>
            <w:tcBorders>
              <w:top w:val="single" w:sz="4" w:space="0" w:color="auto"/>
              <w:left w:val="nil"/>
              <w:bottom w:val="single" w:sz="4" w:space="0" w:color="auto"/>
              <w:right w:val="nil"/>
            </w:tcBorders>
            <w:hideMark/>
          </w:tcPr>
          <w:p w14:paraId="2316E72F" w14:textId="77777777" w:rsidR="005924BC" w:rsidRPr="002364E7" w:rsidRDefault="005924BC">
            <w:r w:rsidRPr="002364E7">
              <w:t>Funding – Strategic Partnership</w:t>
            </w:r>
          </w:p>
        </w:tc>
        <w:tc>
          <w:tcPr>
            <w:tcW w:w="7542" w:type="dxa"/>
            <w:tcBorders>
              <w:top w:val="single" w:sz="4" w:space="0" w:color="auto"/>
              <w:left w:val="nil"/>
              <w:bottom w:val="single" w:sz="4" w:space="0" w:color="auto"/>
              <w:right w:val="nil"/>
            </w:tcBorders>
            <w:hideMark/>
          </w:tcPr>
          <w:p w14:paraId="40AFA940" w14:textId="77777777" w:rsidR="005924BC" w:rsidRPr="002364E7" w:rsidRDefault="005924BC">
            <w:pPr>
              <w:spacing w:after="0"/>
            </w:pPr>
            <w:r w:rsidRPr="002364E7">
              <w:t>A partnership that has been entered into between Council and a community organisation so they can work collaboratively to achi</w:t>
            </w:r>
            <w:r w:rsidR="003620FB" w:rsidRPr="002364E7">
              <w:t>eve common outcomes. Strategic p</w:t>
            </w:r>
            <w:r w:rsidRPr="002364E7">
              <w:t>artnerships include the provision of funding to deliver on an idea or initiative that will improve the community’s health and wellbeing and is aligned with the Council’s strategic priorities.</w:t>
            </w:r>
          </w:p>
        </w:tc>
      </w:tr>
      <w:tr w:rsidR="005924BC" w:rsidRPr="002364E7" w14:paraId="32921856" w14:textId="77777777" w:rsidTr="005924BC">
        <w:tc>
          <w:tcPr>
            <w:tcW w:w="2410" w:type="dxa"/>
            <w:tcBorders>
              <w:top w:val="single" w:sz="4" w:space="0" w:color="auto"/>
              <w:left w:val="nil"/>
              <w:bottom w:val="single" w:sz="4" w:space="0" w:color="auto"/>
              <w:right w:val="nil"/>
            </w:tcBorders>
            <w:hideMark/>
          </w:tcPr>
          <w:p w14:paraId="58071E04" w14:textId="77777777" w:rsidR="005924BC" w:rsidRPr="002364E7" w:rsidRDefault="005924BC">
            <w:pPr>
              <w:spacing w:after="0"/>
            </w:pPr>
            <w:r w:rsidRPr="002364E7">
              <w:t>Funding - Subsidy</w:t>
            </w:r>
          </w:p>
        </w:tc>
        <w:tc>
          <w:tcPr>
            <w:tcW w:w="7542" w:type="dxa"/>
            <w:tcBorders>
              <w:top w:val="single" w:sz="4" w:space="0" w:color="auto"/>
              <w:left w:val="nil"/>
              <w:bottom w:val="single" w:sz="4" w:space="0" w:color="auto"/>
              <w:right w:val="nil"/>
            </w:tcBorders>
            <w:hideMark/>
          </w:tcPr>
          <w:p w14:paraId="2417728C" w14:textId="77777777" w:rsidR="005924BC" w:rsidRPr="002364E7" w:rsidRDefault="005924BC">
            <w:pPr>
              <w:spacing w:after="0"/>
            </w:pPr>
            <w:r w:rsidRPr="002364E7">
              <w:t>Financial aid or benefit supplied to a community group in the form of fee reduction for reasons of: public welfare; reduction of financial burden; being in the public interest and/or to maintain prices at a certain level.</w:t>
            </w:r>
          </w:p>
        </w:tc>
      </w:tr>
      <w:tr w:rsidR="005924BC" w:rsidRPr="002364E7" w14:paraId="58EFA49F" w14:textId="77777777" w:rsidTr="005924BC">
        <w:tc>
          <w:tcPr>
            <w:tcW w:w="2410" w:type="dxa"/>
            <w:tcBorders>
              <w:top w:val="single" w:sz="4" w:space="0" w:color="auto"/>
              <w:left w:val="nil"/>
              <w:bottom w:val="single" w:sz="4" w:space="0" w:color="auto"/>
              <w:right w:val="nil"/>
            </w:tcBorders>
            <w:hideMark/>
          </w:tcPr>
          <w:p w14:paraId="29BC6CEA" w14:textId="77777777" w:rsidR="005924BC" w:rsidRPr="002364E7" w:rsidRDefault="005924BC">
            <w:r w:rsidRPr="002364E7">
              <w:t>Grant</w:t>
            </w:r>
          </w:p>
        </w:tc>
        <w:tc>
          <w:tcPr>
            <w:tcW w:w="7542" w:type="dxa"/>
            <w:tcBorders>
              <w:top w:val="single" w:sz="4" w:space="0" w:color="auto"/>
              <w:left w:val="nil"/>
              <w:bottom w:val="single" w:sz="4" w:space="0" w:color="auto"/>
              <w:right w:val="nil"/>
            </w:tcBorders>
            <w:vAlign w:val="center"/>
            <w:hideMark/>
          </w:tcPr>
          <w:p w14:paraId="3CAB2666" w14:textId="77777777" w:rsidR="005924BC" w:rsidRPr="002364E7" w:rsidRDefault="005924BC">
            <w:r w:rsidRPr="002364E7">
              <w:t xml:space="preserve">A sum of money given to a recipient (i.e. organisations or individuals) for a specified purpose directed at achieving goals and objectives consistent </w:t>
            </w:r>
            <w:r w:rsidRPr="002364E7">
              <w:lastRenderedPageBreak/>
              <w:t xml:space="preserve">with government policy.  Grant recipients are selected on merit against a set of criteria. </w:t>
            </w:r>
          </w:p>
          <w:p w14:paraId="0CECE549" w14:textId="77777777" w:rsidR="005924BC" w:rsidRPr="002364E7" w:rsidRDefault="005924BC">
            <w:r w:rsidRPr="002364E7">
              <w:t>Grants typically, but not always, have conditions attached, such as reporting obligations and key performance indicators. Grants may be dispersed on a one-off or longer term basis, but aren’t provided as ongoing, permanent funding</w:t>
            </w:r>
            <w:r w:rsidRPr="002364E7">
              <w:rPr>
                <w:rStyle w:val="FootnoteReference"/>
              </w:rPr>
              <w:footnoteReference w:id="3"/>
            </w:r>
            <w:r w:rsidRPr="002364E7">
              <w:t xml:space="preserve">. </w:t>
            </w:r>
          </w:p>
        </w:tc>
      </w:tr>
      <w:tr w:rsidR="005924BC" w14:paraId="3CE77671" w14:textId="77777777" w:rsidTr="005924BC">
        <w:tc>
          <w:tcPr>
            <w:tcW w:w="2410" w:type="dxa"/>
            <w:tcBorders>
              <w:top w:val="single" w:sz="4" w:space="0" w:color="auto"/>
              <w:left w:val="nil"/>
              <w:bottom w:val="single" w:sz="4" w:space="0" w:color="auto"/>
              <w:right w:val="nil"/>
            </w:tcBorders>
            <w:hideMark/>
          </w:tcPr>
          <w:p w14:paraId="7C8B48CA" w14:textId="77777777" w:rsidR="005924BC" w:rsidRPr="002364E7" w:rsidRDefault="005924BC">
            <w:pPr>
              <w:spacing w:after="0"/>
            </w:pPr>
            <w:r w:rsidRPr="002364E7">
              <w:lastRenderedPageBreak/>
              <w:t>Grants Administration</w:t>
            </w:r>
          </w:p>
        </w:tc>
        <w:tc>
          <w:tcPr>
            <w:tcW w:w="7542" w:type="dxa"/>
            <w:tcBorders>
              <w:top w:val="single" w:sz="4" w:space="0" w:color="auto"/>
              <w:left w:val="nil"/>
              <w:bottom w:val="single" w:sz="4" w:space="0" w:color="auto"/>
              <w:right w:val="nil"/>
            </w:tcBorders>
            <w:hideMark/>
          </w:tcPr>
          <w:p w14:paraId="06747635" w14:textId="77777777" w:rsidR="005924BC" w:rsidRPr="002364E7" w:rsidRDefault="005924BC">
            <w:pPr>
              <w:spacing w:after="0"/>
            </w:pPr>
            <w:r w:rsidRPr="002364E7">
              <w:t>The end-to-end grant management process which includes: planning and design; assessment and decision-making; grant establishment; agreement and relationship management; monitoring; acquittal and review and evaluation.</w:t>
            </w:r>
          </w:p>
        </w:tc>
      </w:tr>
      <w:tr w:rsidR="005924BC" w14:paraId="4C128000" w14:textId="77777777" w:rsidTr="005924BC">
        <w:tc>
          <w:tcPr>
            <w:tcW w:w="2410" w:type="dxa"/>
            <w:tcBorders>
              <w:top w:val="single" w:sz="4" w:space="0" w:color="auto"/>
              <w:left w:val="nil"/>
              <w:bottom w:val="single" w:sz="4" w:space="0" w:color="auto"/>
              <w:right w:val="nil"/>
            </w:tcBorders>
            <w:hideMark/>
          </w:tcPr>
          <w:p w14:paraId="16B7A6D1" w14:textId="77777777" w:rsidR="005924BC" w:rsidRPr="002364E7" w:rsidRDefault="005924BC">
            <w:pPr>
              <w:spacing w:after="0"/>
            </w:pPr>
            <w:r w:rsidRPr="002364E7">
              <w:t>Grant - Contested</w:t>
            </w:r>
          </w:p>
        </w:tc>
        <w:tc>
          <w:tcPr>
            <w:tcW w:w="7542" w:type="dxa"/>
            <w:tcBorders>
              <w:top w:val="single" w:sz="4" w:space="0" w:color="auto"/>
              <w:left w:val="nil"/>
              <w:bottom w:val="single" w:sz="4" w:space="0" w:color="auto"/>
              <w:right w:val="nil"/>
            </w:tcBorders>
            <w:hideMark/>
          </w:tcPr>
          <w:p w14:paraId="1E876AA2" w14:textId="77777777" w:rsidR="005924BC" w:rsidRPr="002364E7" w:rsidRDefault="005924BC">
            <w:pPr>
              <w:spacing w:after="0"/>
            </w:pPr>
            <w:r w:rsidRPr="002364E7">
              <w:t>Grant programs that have publicly available guidelines and application processes. Funding is awarded on a competitive basis where a grant application is selected on merit following assessment against a set of criteria.</w:t>
            </w:r>
          </w:p>
        </w:tc>
      </w:tr>
      <w:tr w:rsidR="005924BC" w14:paraId="4E82A353" w14:textId="77777777" w:rsidTr="005924BC">
        <w:tc>
          <w:tcPr>
            <w:tcW w:w="2410" w:type="dxa"/>
            <w:tcBorders>
              <w:top w:val="single" w:sz="4" w:space="0" w:color="auto"/>
              <w:left w:val="nil"/>
              <w:bottom w:val="single" w:sz="4" w:space="0" w:color="auto"/>
              <w:right w:val="nil"/>
            </w:tcBorders>
            <w:hideMark/>
          </w:tcPr>
          <w:p w14:paraId="7CC54DD9" w14:textId="77777777" w:rsidR="005924BC" w:rsidRPr="002364E7" w:rsidRDefault="005924BC">
            <w:pPr>
              <w:spacing w:after="0"/>
            </w:pPr>
            <w:r w:rsidRPr="002364E7">
              <w:t>Grant - Negotiated</w:t>
            </w:r>
          </w:p>
        </w:tc>
        <w:tc>
          <w:tcPr>
            <w:tcW w:w="7542" w:type="dxa"/>
            <w:tcBorders>
              <w:top w:val="single" w:sz="4" w:space="0" w:color="auto"/>
              <w:left w:val="nil"/>
              <w:bottom w:val="single" w:sz="4" w:space="0" w:color="auto"/>
              <w:right w:val="nil"/>
            </w:tcBorders>
            <w:hideMark/>
          </w:tcPr>
          <w:p w14:paraId="38487378" w14:textId="77777777" w:rsidR="005924BC" w:rsidRPr="002364E7" w:rsidRDefault="005924BC">
            <w:pPr>
              <w:spacing w:after="0"/>
            </w:pPr>
            <w:r w:rsidRPr="002364E7">
              <w:t>Non-competitive grants awarded to target recipients through discrete programs that are not advertised publicly.  Funding may be awarded to one or multiple recipients.</w:t>
            </w:r>
          </w:p>
        </w:tc>
      </w:tr>
      <w:tr w:rsidR="005924BC" w14:paraId="3BDAD46C" w14:textId="77777777" w:rsidTr="005924BC">
        <w:tc>
          <w:tcPr>
            <w:tcW w:w="2410" w:type="dxa"/>
            <w:tcBorders>
              <w:top w:val="single" w:sz="4" w:space="0" w:color="auto"/>
              <w:left w:val="nil"/>
              <w:bottom w:val="single" w:sz="4" w:space="0" w:color="auto"/>
              <w:right w:val="nil"/>
            </w:tcBorders>
            <w:hideMark/>
          </w:tcPr>
          <w:p w14:paraId="04C0941A" w14:textId="77777777" w:rsidR="005924BC" w:rsidRPr="002364E7" w:rsidRDefault="005924BC">
            <w:pPr>
              <w:spacing w:after="0"/>
            </w:pPr>
            <w:r w:rsidRPr="002364E7">
              <w:t>Grant - Targeted</w:t>
            </w:r>
          </w:p>
        </w:tc>
        <w:tc>
          <w:tcPr>
            <w:tcW w:w="7542" w:type="dxa"/>
            <w:tcBorders>
              <w:top w:val="single" w:sz="4" w:space="0" w:color="auto"/>
              <w:left w:val="nil"/>
              <w:bottom w:val="single" w:sz="4" w:space="0" w:color="auto"/>
              <w:right w:val="nil"/>
            </w:tcBorders>
            <w:hideMark/>
          </w:tcPr>
          <w:p w14:paraId="6AFE60F7" w14:textId="77777777" w:rsidR="005924BC" w:rsidRPr="002364E7" w:rsidRDefault="005924BC">
            <w:pPr>
              <w:spacing w:after="0"/>
            </w:pPr>
            <w:r w:rsidRPr="002364E7">
              <w:t>Grants are awarded to a defined group of recipients. It can involve a two-stage process where a market needs to be tested or properly defined.</w:t>
            </w:r>
          </w:p>
        </w:tc>
      </w:tr>
      <w:tr w:rsidR="005924BC" w14:paraId="6ACE8D4B" w14:textId="77777777" w:rsidTr="005924BC">
        <w:tc>
          <w:tcPr>
            <w:tcW w:w="2410" w:type="dxa"/>
            <w:tcBorders>
              <w:top w:val="single" w:sz="4" w:space="0" w:color="auto"/>
              <w:left w:val="nil"/>
              <w:bottom w:val="single" w:sz="4" w:space="0" w:color="auto"/>
              <w:right w:val="nil"/>
            </w:tcBorders>
            <w:hideMark/>
          </w:tcPr>
          <w:p w14:paraId="55141444" w14:textId="77777777" w:rsidR="005924BC" w:rsidRPr="002364E7" w:rsidRDefault="005924BC">
            <w:pPr>
              <w:spacing w:after="0"/>
            </w:pPr>
            <w:r w:rsidRPr="002364E7">
              <w:t>Grant - Timeframe</w:t>
            </w:r>
          </w:p>
        </w:tc>
        <w:tc>
          <w:tcPr>
            <w:tcW w:w="7542" w:type="dxa"/>
            <w:tcBorders>
              <w:top w:val="single" w:sz="4" w:space="0" w:color="auto"/>
              <w:left w:val="nil"/>
              <w:bottom w:val="single" w:sz="4" w:space="0" w:color="auto"/>
              <w:right w:val="nil"/>
            </w:tcBorders>
            <w:hideMark/>
          </w:tcPr>
          <w:p w14:paraId="7E5A5728" w14:textId="77777777" w:rsidR="005924BC" w:rsidRPr="002364E7" w:rsidRDefault="005924BC">
            <w:pPr>
              <w:spacing w:after="0"/>
            </w:pPr>
            <w:r w:rsidRPr="002364E7">
              <w:t xml:space="preserve">Grant payments can be made on a one-off basis, for a short time period or over multiple years under a funding agreement. </w:t>
            </w:r>
          </w:p>
        </w:tc>
      </w:tr>
      <w:tr w:rsidR="005924BC" w14:paraId="25126460" w14:textId="77777777" w:rsidTr="005924BC">
        <w:tc>
          <w:tcPr>
            <w:tcW w:w="2410" w:type="dxa"/>
            <w:tcBorders>
              <w:top w:val="single" w:sz="4" w:space="0" w:color="auto"/>
              <w:left w:val="nil"/>
              <w:bottom w:val="single" w:sz="4" w:space="0" w:color="auto"/>
              <w:right w:val="nil"/>
            </w:tcBorders>
            <w:hideMark/>
          </w:tcPr>
          <w:p w14:paraId="110F6884" w14:textId="77777777" w:rsidR="005924BC" w:rsidRPr="002364E7" w:rsidRDefault="005924BC">
            <w:pPr>
              <w:spacing w:after="0"/>
            </w:pPr>
            <w:r w:rsidRPr="002364E7">
              <w:t>Proportionality</w:t>
            </w:r>
          </w:p>
        </w:tc>
        <w:tc>
          <w:tcPr>
            <w:tcW w:w="7542" w:type="dxa"/>
            <w:tcBorders>
              <w:top w:val="single" w:sz="4" w:space="0" w:color="auto"/>
              <w:left w:val="nil"/>
              <w:bottom w:val="single" w:sz="4" w:space="0" w:color="auto"/>
              <w:right w:val="nil"/>
            </w:tcBorders>
            <w:hideMark/>
          </w:tcPr>
          <w:p w14:paraId="17294395" w14:textId="77777777" w:rsidR="005924BC" w:rsidRPr="002364E7" w:rsidRDefault="005924BC">
            <w:pPr>
              <w:spacing w:after="0"/>
            </w:pPr>
            <w:r w:rsidRPr="002364E7">
              <w:t xml:space="preserve">In the context of funding, proportionality involves ensuring a reasonable balance between the complexity of a funded activity, including the ongoing requirements for funded recipients, and managing the overall risks for beneficiaries and Council (or the Government). </w:t>
            </w:r>
          </w:p>
        </w:tc>
      </w:tr>
      <w:tr w:rsidR="005924BC" w14:paraId="25274C3E" w14:textId="77777777" w:rsidTr="005924BC">
        <w:tc>
          <w:tcPr>
            <w:tcW w:w="2410" w:type="dxa"/>
            <w:tcBorders>
              <w:top w:val="single" w:sz="4" w:space="0" w:color="auto"/>
              <w:left w:val="nil"/>
              <w:bottom w:val="single" w:sz="4" w:space="0" w:color="auto"/>
              <w:right w:val="nil"/>
            </w:tcBorders>
            <w:hideMark/>
          </w:tcPr>
          <w:p w14:paraId="4DA18806" w14:textId="77777777" w:rsidR="005924BC" w:rsidRPr="002364E7" w:rsidRDefault="005924BC">
            <w:pPr>
              <w:spacing w:after="0"/>
            </w:pPr>
            <w:r w:rsidRPr="002364E7">
              <w:t>Probity</w:t>
            </w:r>
          </w:p>
        </w:tc>
        <w:tc>
          <w:tcPr>
            <w:tcW w:w="7542" w:type="dxa"/>
            <w:tcBorders>
              <w:top w:val="single" w:sz="4" w:space="0" w:color="auto"/>
              <w:left w:val="nil"/>
              <w:bottom w:val="single" w:sz="4" w:space="0" w:color="auto"/>
              <w:right w:val="nil"/>
            </w:tcBorders>
            <w:hideMark/>
          </w:tcPr>
          <w:p w14:paraId="48EC1D27" w14:textId="77777777" w:rsidR="005924BC" w:rsidRPr="002364E7" w:rsidRDefault="005924BC">
            <w:pPr>
              <w:spacing w:after="0"/>
            </w:pPr>
            <w:r w:rsidRPr="002364E7">
              <w:t>Honesty, ethical behaviour and ‘good process’.  In the context of a funded program, good process will involve: clear decision-making procedures and criteria, all applicants being treated consistently and equitably, and decisions being made in a transparent manner which allows them to be understood and justified.</w:t>
            </w:r>
          </w:p>
        </w:tc>
      </w:tr>
      <w:tr w:rsidR="005924BC" w14:paraId="43DDA812" w14:textId="77777777" w:rsidTr="005924BC">
        <w:tc>
          <w:tcPr>
            <w:tcW w:w="2410" w:type="dxa"/>
            <w:tcBorders>
              <w:top w:val="single" w:sz="4" w:space="0" w:color="auto"/>
              <w:left w:val="nil"/>
              <w:bottom w:val="single" w:sz="4" w:space="0" w:color="auto"/>
              <w:right w:val="nil"/>
            </w:tcBorders>
            <w:hideMark/>
          </w:tcPr>
          <w:p w14:paraId="6FA4AFA7" w14:textId="77777777" w:rsidR="005924BC" w:rsidRPr="002364E7" w:rsidRDefault="005924BC">
            <w:pPr>
              <w:spacing w:after="0"/>
            </w:pPr>
            <w:r w:rsidRPr="002364E7">
              <w:t>Program Design</w:t>
            </w:r>
          </w:p>
        </w:tc>
        <w:tc>
          <w:tcPr>
            <w:tcW w:w="7542" w:type="dxa"/>
            <w:tcBorders>
              <w:top w:val="single" w:sz="4" w:space="0" w:color="auto"/>
              <w:left w:val="nil"/>
              <w:bottom w:val="single" w:sz="4" w:space="0" w:color="auto"/>
              <w:right w:val="nil"/>
            </w:tcBorders>
            <w:hideMark/>
          </w:tcPr>
          <w:p w14:paraId="1BF37E4D" w14:textId="77777777" w:rsidR="005924BC" w:rsidRPr="002364E7" w:rsidRDefault="005924BC">
            <w:pPr>
              <w:spacing w:after="0"/>
            </w:pPr>
            <w:r w:rsidRPr="002364E7">
              <w:t xml:space="preserve">The process undertaken to develop a program prior to program implementation.  </w:t>
            </w:r>
          </w:p>
          <w:p w14:paraId="67410159" w14:textId="77777777" w:rsidR="005924BC" w:rsidRPr="002364E7" w:rsidRDefault="005924BC">
            <w:pPr>
              <w:spacing w:after="0"/>
            </w:pPr>
            <w:r w:rsidRPr="002364E7">
              <w:t>Program design will often include development of an implementation plan, consideration of resource or training requirements, and agreement on a governance structure. Program design should also include the development of an evaluation plan.</w:t>
            </w:r>
          </w:p>
        </w:tc>
      </w:tr>
      <w:tr w:rsidR="005924BC" w14:paraId="4B13D641" w14:textId="77777777" w:rsidTr="005924BC">
        <w:tc>
          <w:tcPr>
            <w:tcW w:w="2410" w:type="dxa"/>
            <w:tcBorders>
              <w:top w:val="single" w:sz="4" w:space="0" w:color="auto"/>
              <w:left w:val="nil"/>
              <w:bottom w:val="single" w:sz="4" w:space="0" w:color="auto"/>
              <w:right w:val="nil"/>
            </w:tcBorders>
            <w:hideMark/>
          </w:tcPr>
          <w:p w14:paraId="2985943B" w14:textId="77777777" w:rsidR="005924BC" w:rsidRPr="002364E7" w:rsidRDefault="005924BC">
            <w:pPr>
              <w:spacing w:after="0"/>
            </w:pPr>
            <w:r w:rsidRPr="002364E7">
              <w:t>Program Logic</w:t>
            </w:r>
          </w:p>
        </w:tc>
        <w:tc>
          <w:tcPr>
            <w:tcW w:w="7542" w:type="dxa"/>
            <w:tcBorders>
              <w:top w:val="single" w:sz="4" w:space="0" w:color="auto"/>
              <w:left w:val="nil"/>
              <w:bottom w:val="single" w:sz="4" w:space="0" w:color="auto"/>
              <w:right w:val="nil"/>
            </w:tcBorders>
            <w:hideMark/>
          </w:tcPr>
          <w:p w14:paraId="04945F2C" w14:textId="77777777" w:rsidR="005924BC" w:rsidRPr="002364E7" w:rsidRDefault="005924BC">
            <w:pPr>
              <w:spacing w:after="0"/>
            </w:pPr>
            <w:r w:rsidRPr="002364E7">
              <w:t>A method to depict the logic or pathways through which the programs processes (i.e. inputs, activities and outputs) are intended to achieve the desired outcomes. The Program Logic can assist with in understanding how the program is intended to work, what it is trying to achieve and why.</w:t>
            </w:r>
          </w:p>
        </w:tc>
      </w:tr>
      <w:tr w:rsidR="005924BC" w14:paraId="511F08FE" w14:textId="77777777" w:rsidTr="005924BC">
        <w:tc>
          <w:tcPr>
            <w:tcW w:w="2410" w:type="dxa"/>
            <w:tcBorders>
              <w:top w:val="single" w:sz="4" w:space="0" w:color="auto"/>
              <w:left w:val="nil"/>
              <w:bottom w:val="single" w:sz="4" w:space="0" w:color="auto"/>
              <w:right w:val="nil"/>
            </w:tcBorders>
            <w:hideMark/>
          </w:tcPr>
          <w:p w14:paraId="530F4917" w14:textId="77777777" w:rsidR="005924BC" w:rsidRPr="002364E7" w:rsidRDefault="005924BC">
            <w:r w:rsidRPr="002364E7">
              <w:t>Transparency</w:t>
            </w:r>
          </w:p>
        </w:tc>
        <w:tc>
          <w:tcPr>
            <w:tcW w:w="7542" w:type="dxa"/>
            <w:tcBorders>
              <w:top w:val="single" w:sz="4" w:space="0" w:color="auto"/>
              <w:left w:val="nil"/>
              <w:bottom w:val="single" w:sz="4" w:space="0" w:color="auto"/>
              <w:right w:val="nil"/>
            </w:tcBorders>
            <w:vAlign w:val="center"/>
            <w:hideMark/>
          </w:tcPr>
          <w:p w14:paraId="0C73CA28" w14:textId="77777777" w:rsidR="005924BC" w:rsidRPr="002364E7" w:rsidRDefault="005924BC">
            <w:r w:rsidRPr="002364E7">
              <w:t>Transparency provides assurance that funding administration processes undertaken are appropriate and that policy and legislative obligations are being met.  This involves open scrutiny of the reasons for all decisions and provision of information to government, the Parliament and the community.</w:t>
            </w:r>
          </w:p>
        </w:tc>
      </w:tr>
    </w:tbl>
    <w:p w14:paraId="2EA8D569" w14:textId="77777777" w:rsidR="005924BC" w:rsidRDefault="005924BC" w:rsidP="005924BC">
      <w:pPr>
        <w:spacing w:before="60" w:after="60"/>
        <w:rPr>
          <w:rFonts w:ascii="Gill Sans MT" w:hAnsi="Gill Sans MT"/>
        </w:rPr>
      </w:pPr>
    </w:p>
    <w:p w14:paraId="1E0FEE85" w14:textId="77777777" w:rsidR="005924BC" w:rsidRDefault="005924BC" w:rsidP="006F35F2">
      <w:pPr>
        <w:pStyle w:val="Heading2"/>
        <w:rPr>
          <w:rFonts w:ascii="Gill Sans MT" w:hAnsi="Gill Sans MT"/>
          <w:lang w:eastAsia="en-US"/>
        </w:rPr>
      </w:pPr>
      <w:bookmarkStart w:id="12" w:name="_Toc380755461"/>
      <w:bookmarkStart w:id="13" w:name="_Toc479776215"/>
      <w:bookmarkStart w:id="14" w:name="_Toc16760189"/>
      <w:r>
        <w:lastRenderedPageBreak/>
        <w:t>S</w:t>
      </w:r>
      <w:bookmarkEnd w:id="12"/>
      <w:bookmarkEnd w:id="13"/>
      <w:r w:rsidR="00C552DF">
        <w:t>cope</w:t>
      </w:r>
      <w:bookmarkEnd w:id="14"/>
    </w:p>
    <w:p w14:paraId="643E21D5" w14:textId="77777777" w:rsidR="005924BC" w:rsidRPr="002364E7" w:rsidRDefault="005924BC" w:rsidP="005924BC">
      <w:pPr>
        <w:pStyle w:val="ListParagraph"/>
        <w:numPr>
          <w:ilvl w:val="1"/>
          <w:numId w:val="6"/>
        </w:numPr>
        <w:tabs>
          <w:tab w:val="clear" w:pos="-3060"/>
          <w:tab w:val="clear" w:pos="-2340"/>
          <w:tab w:val="clear" w:pos="6300"/>
        </w:tabs>
        <w:suppressAutoHyphens w:val="0"/>
        <w:spacing w:before="120"/>
        <w:ind w:left="811" w:hanging="454"/>
        <w:contextualSpacing w:val="0"/>
      </w:pPr>
      <w:r w:rsidRPr="002364E7">
        <w:t>This policy applies to all:</w:t>
      </w:r>
    </w:p>
    <w:p w14:paraId="3EA4C717" w14:textId="77777777" w:rsidR="005924BC" w:rsidRPr="002364E7" w:rsidRDefault="005924BC" w:rsidP="005924BC">
      <w:pPr>
        <w:pStyle w:val="ListParagraph"/>
        <w:numPr>
          <w:ilvl w:val="0"/>
          <w:numId w:val="11"/>
        </w:numPr>
        <w:tabs>
          <w:tab w:val="clear" w:pos="-3060"/>
          <w:tab w:val="clear" w:pos="-2340"/>
          <w:tab w:val="clear" w:pos="6300"/>
        </w:tabs>
        <w:suppressAutoHyphens w:val="0"/>
        <w:spacing w:before="60" w:after="60"/>
        <w:contextualSpacing w:val="0"/>
      </w:pPr>
      <w:r w:rsidRPr="002364E7">
        <w:t>Council departments and to all phases of the funding lifecycle, to direct the provision of consistent and transparent funding administration and management.</w:t>
      </w:r>
    </w:p>
    <w:p w14:paraId="5276879C" w14:textId="77777777" w:rsidR="005924BC" w:rsidRPr="002364E7" w:rsidRDefault="005924BC" w:rsidP="005924BC">
      <w:pPr>
        <w:pStyle w:val="ListParagraph"/>
        <w:numPr>
          <w:ilvl w:val="0"/>
          <w:numId w:val="11"/>
        </w:numPr>
        <w:tabs>
          <w:tab w:val="clear" w:pos="-3060"/>
          <w:tab w:val="clear" w:pos="-2340"/>
          <w:tab w:val="clear" w:pos="6300"/>
        </w:tabs>
        <w:suppressAutoHyphens w:val="0"/>
        <w:spacing w:before="60" w:after="60"/>
        <w:contextualSpacing w:val="0"/>
      </w:pPr>
      <w:r w:rsidRPr="002364E7">
        <w:t xml:space="preserve">Councillors, </w:t>
      </w:r>
      <w:r w:rsidR="009C59DC" w:rsidRPr="002364E7">
        <w:t>c</w:t>
      </w:r>
      <w:r w:rsidRPr="002364E7">
        <w:t>ouncil officers and other persons, including temporary and contract staff.</w:t>
      </w:r>
    </w:p>
    <w:p w14:paraId="283D45BD" w14:textId="77777777" w:rsidR="005924BC" w:rsidRPr="002364E7" w:rsidRDefault="005924BC" w:rsidP="005924BC">
      <w:pPr>
        <w:pStyle w:val="ListParagraph"/>
        <w:numPr>
          <w:ilvl w:val="1"/>
          <w:numId w:val="6"/>
        </w:numPr>
        <w:tabs>
          <w:tab w:val="clear" w:pos="-3060"/>
          <w:tab w:val="clear" w:pos="-2340"/>
          <w:tab w:val="clear" w:pos="6300"/>
        </w:tabs>
        <w:suppressAutoHyphens w:val="0"/>
        <w:spacing w:before="120"/>
        <w:ind w:left="811" w:hanging="454"/>
        <w:contextualSpacing w:val="0"/>
      </w:pPr>
      <w:r w:rsidRPr="002364E7">
        <w:t>The implementation of the Community Funding Policy, is supported by a Funding Management Framework and funding lifecycle, which provides structural and administrative roadmaps for funding activities across Council (See 7. Funding Management Framework).</w:t>
      </w:r>
    </w:p>
    <w:p w14:paraId="51A923DF" w14:textId="77777777" w:rsidR="005924BC" w:rsidRDefault="005924BC" w:rsidP="005924BC">
      <w:pPr>
        <w:spacing w:before="60" w:after="60"/>
        <w:rPr>
          <w:rFonts w:ascii="Gill Sans MT" w:hAnsi="Gill Sans MT"/>
        </w:rPr>
      </w:pPr>
    </w:p>
    <w:p w14:paraId="60D21566" w14:textId="77777777" w:rsidR="005924BC" w:rsidRDefault="00C552DF" w:rsidP="006F35F2">
      <w:pPr>
        <w:pStyle w:val="Heading2"/>
        <w:rPr>
          <w:rFonts w:ascii="Gill Sans MT" w:hAnsi="Gill Sans MT"/>
          <w:lang w:eastAsia="en-US"/>
        </w:rPr>
      </w:pPr>
      <w:bookmarkStart w:id="15" w:name="_Toc16760190"/>
      <w:r>
        <w:t>Policy statement</w:t>
      </w:r>
      <w:bookmarkEnd w:id="15"/>
    </w:p>
    <w:p w14:paraId="768BDFC4" w14:textId="77777777" w:rsidR="005924BC" w:rsidRPr="002364E7" w:rsidRDefault="005924BC" w:rsidP="005924BC">
      <w:pPr>
        <w:pStyle w:val="ListParagraph"/>
        <w:numPr>
          <w:ilvl w:val="1"/>
          <w:numId w:val="6"/>
        </w:numPr>
        <w:tabs>
          <w:tab w:val="clear" w:pos="-3060"/>
          <w:tab w:val="clear" w:pos="-2340"/>
          <w:tab w:val="clear" w:pos="6300"/>
        </w:tabs>
        <w:suppressAutoHyphens w:val="0"/>
        <w:spacing w:before="120"/>
        <w:ind w:left="811" w:hanging="454"/>
        <w:contextualSpacing w:val="0"/>
      </w:pPr>
      <w:r w:rsidRPr="002364E7">
        <w:t>The City of Port Phillip recognises that its community grants programs, subsidy schemes, donations and funding agreements provide a strategic opportunity to work in partnership with community groups, organisations and individuals to strengthen community capacity and promote a liveable, inviting and real City of Port Phillip.</w:t>
      </w:r>
    </w:p>
    <w:p w14:paraId="6F1449C0" w14:textId="77777777" w:rsidR="005924BC" w:rsidRPr="002364E7" w:rsidRDefault="005924BC" w:rsidP="005924BC">
      <w:pPr>
        <w:pStyle w:val="ListParagraph"/>
        <w:numPr>
          <w:ilvl w:val="1"/>
          <w:numId w:val="6"/>
        </w:numPr>
        <w:tabs>
          <w:tab w:val="clear" w:pos="-3060"/>
          <w:tab w:val="clear" w:pos="-2340"/>
          <w:tab w:val="clear" w:pos="6300"/>
        </w:tabs>
        <w:suppressAutoHyphens w:val="0"/>
        <w:spacing w:before="120"/>
        <w:ind w:left="811" w:hanging="454"/>
        <w:contextualSpacing w:val="0"/>
      </w:pPr>
      <w:r w:rsidRPr="002364E7">
        <w:t xml:space="preserve">Council will </w:t>
      </w:r>
      <w:r w:rsidRPr="002364E7">
        <w:rPr>
          <w:rFonts w:eastAsia="Gill Sans MT"/>
        </w:rPr>
        <w:t xml:space="preserve">ensure that funding processes reflect strategic objectives and are delivered in a fair and transparent manner to foster civic engagement, strengthen a sense of community and place, promote health and wellbeing and reduce isolation and social exclusion within the City of Port Phillip community. </w:t>
      </w:r>
    </w:p>
    <w:p w14:paraId="785E4C26" w14:textId="77777777" w:rsidR="005924BC" w:rsidRPr="002364E7" w:rsidRDefault="005924BC" w:rsidP="005924BC">
      <w:pPr>
        <w:pStyle w:val="ListParagraph"/>
        <w:numPr>
          <w:ilvl w:val="1"/>
          <w:numId w:val="6"/>
        </w:numPr>
        <w:tabs>
          <w:tab w:val="clear" w:pos="-3060"/>
          <w:tab w:val="clear" w:pos="-2340"/>
          <w:tab w:val="clear" w:pos="6300"/>
        </w:tabs>
        <w:suppressAutoHyphens w:val="0"/>
        <w:spacing w:before="120"/>
        <w:ind w:left="811" w:hanging="454"/>
        <w:contextualSpacing w:val="0"/>
      </w:pPr>
      <w:r w:rsidRPr="002364E7">
        <w:rPr>
          <w:rFonts w:eastAsia="Gill Sans MT"/>
        </w:rPr>
        <w:t>This policy:</w:t>
      </w:r>
    </w:p>
    <w:p w14:paraId="549C4251" w14:textId="77777777" w:rsidR="005924BC" w:rsidRPr="002364E7" w:rsidRDefault="005924BC" w:rsidP="005924BC">
      <w:pPr>
        <w:pStyle w:val="ListParagraph"/>
        <w:numPr>
          <w:ilvl w:val="0"/>
          <w:numId w:val="12"/>
        </w:numPr>
        <w:tabs>
          <w:tab w:val="clear" w:pos="-3060"/>
          <w:tab w:val="clear" w:pos="-2340"/>
          <w:tab w:val="clear" w:pos="6300"/>
        </w:tabs>
        <w:suppressAutoHyphens w:val="0"/>
        <w:spacing w:before="120"/>
        <w:ind w:left="1276"/>
        <w:contextualSpacing w:val="0"/>
        <w:rPr>
          <w:rFonts w:eastAsia="Gill Sans MT"/>
          <w:lang w:eastAsia="en-US"/>
        </w:rPr>
      </w:pPr>
      <w:r w:rsidRPr="002364E7">
        <w:rPr>
          <w:rFonts w:eastAsia="Gill Sans MT"/>
        </w:rPr>
        <w:t>draws upon Council's existing strengths and builds on the skills, ideas and ingenuity of the local community</w:t>
      </w:r>
    </w:p>
    <w:p w14:paraId="09A908A7" w14:textId="77777777" w:rsidR="005924BC" w:rsidRPr="002364E7" w:rsidRDefault="005924BC" w:rsidP="005924BC">
      <w:pPr>
        <w:pStyle w:val="ListParagraph"/>
        <w:numPr>
          <w:ilvl w:val="0"/>
          <w:numId w:val="12"/>
        </w:numPr>
        <w:tabs>
          <w:tab w:val="clear" w:pos="-3060"/>
          <w:tab w:val="clear" w:pos="-2340"/>
          <w:tab w:val="clear" w:pos="6300"/>
        </w:tabs>
        <w:suppressAutoHyphens w:val="0"/>
        <w:spacing w:before="120"/>
        <w:ind w:left="1276"/>
        <w:contextualSpacing w:val="0"/>
        <w:rPr>
          <w:rFonts w:eastAsia="Gill Sans MT"/>
        </w:rPr>
      </w:pPr>
      <w:r w:rsidRPr="002364E7">
        <w:rPr>
          <w:rFonts w:eastAsia="Gill Sans MT"/>
        </w:rPr>
        <w:t xml:space="preserve">values the capabilities and willingness of groups, organisations and individuals to contribute to the overall well-being of the community </w:t>
      </w:r>
    </w:p>
    <w:p w14:paraId="34BD9F5F" w14:textId="77777777" w:rsidR="005924BC" w:rsidRPr="002364E7" w:rsidRDefault="005924BC" w:rsidP="005924BC">
      <w:pPr>
        <w:pStyle w:val="ListParagraph"/>
        <w:numPr>
          <w:ilvl w:val="0"/>
          <w:numId w:val="12"/>
        </w:numPr>
        <w:tabs>
          <w:tab w:val="clear" w:pos="-3060"/>
          <w:tab w:val="clear" w:pos="-2340"/>
          <w:tab w:val="clear" w:pos="6300"/>
        </w:tabs>
        <w:suppressAutoHyphens w:val="0"/>
        <w:spacing w:before="120"/>
        <w:ind w:left="1276"/>
        <w:contextualSpacing w:val="0"/>
        <w:rPr>
          <w:rFonts w:eastAsia="Gill Sans MT"/>
        </w:rPr>
      </w:pPr>
      <w:r w:rsidRPr="002364E7">
        <w:rPr>
          <w:rFonts w:eastAsia="Gill Sans MT"/>
        </w:rPr>
        <w:t>acknowledges the mutual benefits of the Council and community working together</w:t>
      </w:r>
    </w:p>
    <w:p w14:paraId="6997DBE5" w14:textId="77777777" w:rsidR="005924BC" w:rsidRPr="002364E7" w:rsidRDefault="005924BC" w:rsidP="005924BC">
      <w:pPr>
        <w:pStyle w:val="ListParagraph"/>
        <w:numPr>
          <w:ilvl w:val="0"/>
          <w:numId w:val="12"/>
        </w:numPr>
        <w:tabs>
          <w:tab w:val="clear" w:pos="-3060"/>
          <w:tab w:val="clear" w:pos="-2340"/>
          <w:tab w:val="clear" w:pos="6300"/>
        </w:tabs>
        <w:suppressAutoHyphens w:val="0"/>
        <w:spacing w:before="120"/>
        <w:ind w:left="1276"/>
        <w:contextualSpacing w:val="0"/>
        <w:rPr>
          <w:rFonts w:eastAsia="Gill Sans MT"/>
        </w:rPr>
      </w:pPr>
      <w:r w:rsidRPr="002364E7">
        <w:rPr>
          <w:rFonts w:eastAsia="Gill Sans MT"/>
        </w:rPr>
        <w:t xml:space="preserve">enables and promotes community leadership in delivering outcomes. </w:t>
      </w:r>
    </w:p>
    <w:p w14:paraId="01DBDEF9" w14:textId="77777777" w:rsidR="005924BC" w:rsidRPr="002364E7" w:rsidRDefault="005924BC" w:rsidP="005924BC">
      <w:pPr>
        <w:pStyle w:val="ListParagraph"/>
        <w:numPr>
          <w:ilvl w:val="1"/>
          <w:numId w:val="6"/>
        </w:numPr>
        <w:tabs>
          <w:tab w:val="clear" w:pos="-3060"/>
          <w:tab w:val="clear" w:pos="-2340"/>
          <w:tab w:val="clear" w:pos="6300"/>
        </w:tabs>
        <w:suppressAutoHyphens w:val="0"/>
        <w:spacing w:before="120"/>
        <w:contextualSpacing w:val="0"/>
      </w:pPr>
      <w:r w:rsidRPr="002364E7">
        <w:rPr>
          <w:rFonts w:eastAsia="Gill Sans MT"/>
        </w:rPr>
        <w:t xml:space="preserve">Council’s Funding Management Framework ensures that Council will only provide funding, which demonstrates links to the Council Plan’s strategic objectives, clear program budgets, eligibility criteria, application and assessment processes. Funding recipients can have confidence that </w:t>
      </w:r>
      <w:r w:rsidR="00B2672D" w:rsidRPr="002364E7">
        <w:rPr>
          <w:rFonts w:eastAsia="Gill Sans MT"/>
        </w:rPr>
        <w:t xml:space="preserve">what </w:t>
      </w:r>
      <w:r w:rsidRPr="002364E7">
        <w:rPr>
          <w:rFonts w:eastAsia="Gill Sans MT"/>
        </w:rPr>
        <w:t>they have been awarded</w:t>
      </w:r>
      <w:r w:rsidR="009C59DC" w:rsidRPr="002364E7">
        <w:rPr>
          <w:rFonts w:eastAsia="Gill Sans MT"/>
        </w:rPr>
        <w:t xml:space="preserve"> is</w:t>
      </w:r>
      <w:r w:rsidRPr="002364E7">
        <w:rPr>
          <w:rFonts w:eastAsia="Gill Sans MT"/>
        </w:rPr>
        <w:t xml:space="preserve"> based on the quality of their proposal to achieve the designed outcomes. </w:t>
      </w:r>
    </w:p>
    <w:p w14:paraId="6B05B6D1" w14:textId="77777777" w:rsidR="005924BC" w:rsidRPr="002364E7" w:rsidRDefault="005924BC" w:rsidP="005924BC">
      <w:pPr>
        <w:pStyle w:val="ListParagraph"/>
        <w:numPr>
          <w:ilvl w:val="1"/>
          <w:numId w:val="6"/>
        </w:numPr>
        <w:tabs>
          <w:tab w:val="clear" w:pos="-3060"/>
          <w:tab w:val="clear" w:pos="-2340"/>
          <w:tab w:val="clear" w:pos="6300"/>
        </w:tabs>
        <w:suppressAutoHyphens w:val="0"/>
        <w:spacing w:before="120"/>
        <w:contextualSpacing w:val="0"/>
        <w:rPr>
          <w:rFonts w:eastAsia="Gill Sans MT"/>
          <w:lang w:eastAsia="en-US"/>
        </w:rPr>
      </w:pPr>
      <w:r w:rsidRPr="002364E7">
        <w:rPr>
          <w:rFonts w:eastAsia="Gill Sans MT"/>
        </w:rPr>
        <w:t xml:space="preserve">Council will review </w:t>
      </w:r>
      <w:r w:rsidR="00644185">
        <w:rPr>
          <w:rFonts w:eastAsia="Gill Sans MT"/>
        </w:rPr>
        <w:t>f</w:t>
      </w:r>
      <w:r w:rsidRPr="002364E7">
        <w:rPr>
          <w:rFonts w:eastAsia="Gill Sans MT"/>
        </w:rPr>
        <w:t>unding categories annually to ensure:</w:t>
      </w:r>
    </w:p>
    <w:p w14:paraId="55437141" w14:textId="77777777" w:rsidR="005924BC" w:rsidRPr="002364E7" w:rsidRDefault="005924BC" w:rsidP="005924BC">
      <w:pPr>
        <w:pStyle w:val="ListParagraph"/>
        <w:numPr>
          <w:ilvl w:val="2"/>
          <w:numId w:val="6"/>
        </w:numPr>
        <w:tabs>
          <w:tab w:val="clear" w:pos="-3060"/>
          <w:tab w:val="clear" w:pos="-2340"/>
          <w:tab w:val="clear" w:pos="6300"/>
        </w:tabs>
        <w:suppressAutoHyphens w:val="0"/>
        <w:spacing w:before="120"/>
        <w:ind w:left="1276" w:hanging="283"/>
        <w:contextualSpacing w:val="0"/>
      </w:pPr>
      <w:r w:rsidRPr="002364E7">
        <w:t>alignment with Council Plan’s 2017-27 strategic objectives and community needs</w:t>
      </w:r>
    </w:p>
    <w:p w14:paraId="175CA8CD" w14:textId="77777777" w:rsidR="005924BC" w:rsidRPr="002364E7" w:rsidRDefault="005924BC" w:rsidP="005924BC">
      <w:pPr>
        <w:pStyle w:val="ListParagraph"/>
        <w:numPr>
          <w:ilvl w:val="2"/>
          <w:numId w:val="6"/>
        </w:numPr>
        <w:tabs>
          <w:tab w:val="clear" w:pos="-3060"/>
          <w:tab w:val="clear" w:pos="-2340"/>
          <w:tab w:val="clear" w:pos="6300"/>
        </w:tabs>
        <w:suppressAutoHyphens w:val="0"/>
        <w:spacing w:before="120"/>
        <w:ind w:left="1276" w:hanging="283"/>
        <w:contextualSpacing w:val="0"/>
      </w:pPr>
      <w:r w:rsidRPr="002364E7">
        <w:t xml:space="preserve">the </w:t>
      </w:r>
      <w:r w:rsidRPr="002364E7">
        <w:rPr>
          <w:rFonts w:eastAsia="Gill Sans MT"/>
        </w:rPr>
        <w:t>effectiveness of each individual program in responding to the priorities.  This process will assist in identifying new and emerging needs and inform adjustments of priorities and allocations of funding and,</w:t>
      </w:r>
    </w:p>
    <w:p w14:paraId="58C4804F" w14:textId="77777777" w:rsidR="005924BC" w:rsidRPr="002364E7" w:rsidRDefault="005924BC" w:rsidP="005924BC">
      <w:pPr>
        <w:pStyle w:val="ListParagraph"/>
        <w:numPr>
          <w:ilvl w:val="2"/>
          <w:numId w:val="6"/>
        </w:numPr>
        <w:tabs>
          <w:tab w:val="clear" w:pos="-3060"/>
          <w:tab w:val="clear" w:pos="-2340"/>
          <w:tab w:val="clear" w:pos="6300"/>
        </w:tabs>
        <w:suppressAutoHyphens w:val="0"/>
        <w:spacing w:before="120"/>
        <w:ind w:left="1276" w:hanging="283"/>
        <w:contextualSpacing w:val="0"/>
      </w:pPr>
      <w:r w:rsidRPr="002364E7">
        <w:rPr>
          <w:rFonts w:eastAsia="Gill Sans MT"/>
        </w:rPr>
        <w:t>the effectiveness and efficiency of operational and administrative processes of the funding which includes, but is not limited to eligibility and assessment, decision making, monitoring and reporting, review and evaluation.</w:t>
      </w:r>
    </w:p>
    <w:p w14:paraId="057B4D9D" w14:textId="77777777" w:rsidR="005924BC" w:rsidRPr="002364E7" w:rsidRDefault="005924BC" w:rsidP="005924BC">
      <w:pPr>
        <w:pStyle w:val="ListParagraph"/>
        <w:numPr>
          <w:ilvl w:val="1"/>
          <w:numId w:val="6"/>
        </w:numPr>
        <w:tabs>
          <w:tab w:val="clear" w:pos="-3060"/>
          <w:tab w:val="clear" w:pos="-2340"/>
          <w:tab w:val="clear" w:pos="6300"/>
        </w:tabs>
        <w:suppressAutoHyphens w:val="0"/>
        <w:spacing w:before="120"/>
        <w:contextualSpacing w:val="0"/>
        <w:rPr>
          <w:rFonts w:eastAsia="Gill Sans MT"/>
          <w:lang w:eastAsia="en-US"/>
        </w:rPr>
      </w:pPr>
      <w:r w:rsidRPr="002364E7">
        <w:rPr>
          <w:rFonts w:eastAsia="Gill Sans MT"/>
        </w:rPr>
        <w:t>The results of the review will be used by Council to inform and improve updates to, and implementation of the Community Funding Policy.</w:t>
      </w:r>
    </w:p>
    <w:p w14:paraId="665D3DA0" w14:textId="77777777" w:rsidR="005924BC" w:rsidRDefault="005924BC" w:rsidP="00FF57F0">
      <w:pPr>
        <w:rPr>
          <w:rFonts w:eastAsiaTheme="majorEastAsia"/>
        </w:rPr>
      </w:pPr>
    </w:p>
    <w:p w14:paraId="221208CE" w14:textId="77777777" w:rsidR="00FF57F0" w:rsidRDefault="00FF57F0" w:rsidP="00FF57F0">
      <w:pPr>
        <w:rPr>
          <w:rFonts w:eastAsiaTheme="majorEastAsia"/>
        </w:rPr>
      </w:pPr>
    </w:p>
    <w:p w14:paraId="28E88CF8" w14:textId="77777777" w:rsidR="005924BC" w:rsidRDefault="005924BC" w:rsidP="006F35F2">
      <w:pPr>
        <w:pStyle w:val="Heading2"/>
      </w:pPr>
      <w:bookmarkStart w:id="16" w:name="_Toc380755463"/>
      <w:bookmarkStart w:id="17" w:name="_Toc16760191"/>
      <w:r>
        <w:t>F</w:t>
      </w:r>
      <w:r w:rsidR="00C552DF">
        <w:t>unding</w:t>
      </w:r>
      <w:r>
        <w:t xml:space="preserve"> </w:t>
      </w:r>
      <w:r w:rsidR="00C552DF">
        <w:t>management</w:t>
      </w:r>
      <w:r>
        <w:t xml:space="preserve"> </w:t>
      </w:r>
      <w:bookmarkEnd w:id="16"/>
      <w:r w:rsidR="00C552DF">
        <w:t>framework</w:t>
      </w:r>
      <w:bookmarkEnd w:id="17"/>
    </w:p>
    <w:p w14:paraId="7C74E087" w14:textId="77777777" w:rsidR="005924BC" w:rsidRPr="002364E7" w:rsidRDefault="005924BC" w:rsidP="005924BC">
      <w:pPr>
        <w:pStyle w:val="ListParagraph"/>
        <w:numPr>
          <w:ilvl w:val="1"/>
          <w:numId w:val="6"/>
        </w:numPr>
        <w:tabs>
          <w:tab w:val="clear" w:pos="-3060"/>
          <w:tab w:val="clear" w:pos="-2340"/>
          <w:tab w:val="clear" w:pos="6300"/>
        </w:tabs>
        <w:suppressAutoHyphens w:val="0"/>
        <w:spacing w:before="120"/>
        <w:ind w:left="811" w:hanging="454"/>
        <w:contextualSpacing w:val="0"/>
      </w:pPr>
      <w:r w:rsidRPr="002364E7">
        <w:t>The diagram below provides an illustration of a robust funding management framework. This provides a foundation for all funding and grant management activity and ensures alignment with Council strategies and plans.  Embedding a robust funding management framework and funding allocation model helps to support Council’s community investment decisions and the achievement of outcomes.</w:t>
      </w:r>
    </w:p>
    <w:p w14:paraId="2AD6A477" w14:textId="77777777" w:rsidR="005924BC" w:rsidRDefault="005924BC" w:rsidP="005924BC">
      <w:pPr>
        <w:spacing w:before="120"/>
        <w:rPr>
          <w:rFonts w:ascii="Gill Sans MT" w:hAnsi="Gill Sans MT"/>
        </w:rPr>
      </w:pPr>
    </w:p>
    <w:p w14:paraId="077021CE" w14:textId="77777777" w:rsidR="005924BC" w:rsidRDefault="005924BC" w:rsidP="005924BC">
      <w:pPr>
        <w:pStyle w:val="ListParagraph"/>
        <w:spacing w:before="120"/>
        <w:ind w:left="811"/>
        <w:rPr>
          <w:rFonts w:ascii="Gill Sans MT" w:hAnsi="Gill Sans MT"/>
        </w:rPr>
      </w:pPr>
      <w:r>
        <w:rPr>
          <w:i/>
          <w:color w:val="FF0000"/>
        </w:rPr>
        <w:drawing>
          <wp:inline distT="0" distB="0" distL="0" distR="0" wp14:anchorId="37666AA4" wp14:editId="7DBF3EC7">
            <wp:extent cx="4810125" cy="4191000"/>
            <wp:effectExtent l="0" t="0" r="9525" b="0"/>
            <wp:docPr id="4" name="Picture 4" descr="Funding management proce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0125" cy="4191000"/>
                    </a:xfrm>
                    <a:prstGeom prst="rect">
                      <a:avLst/>
                    </a:prstGeom>
                    <a:noFill/>
                    <a:ln>
                      <a:noFill/>
                    </a:ln>
                  </pic:spPr>
                </pic:pic>
              </a:graphicData>
            </a:graphic>
          </wp:inline>
        </w:drawing>
      </w:r>
    </w:p>
    <w:p w14:paraId="73CD94A1" w14:textId="77777777" w:rsidR="005924BC" w:rsidRDefault="005924BC" w:rsidP="005924BC">
      <w:pPr>
        <w:ind w:left="720" w:firstLine="91"/>
        <w:rPr>
          <w:i/>
          <w:iCs/>
          <w:sz w:val="16"/>
          <w:szCs w:val="16"/>
        </w:rPr>
      </w:pPr>
      <w:r>
        <w:rPr>
          <w:i/>
          <w:iCs/>
          <w:sz w:val="16"/>
          <w:szCs w:val="16"/>
        </w:rPr>
        <w:t>Figure 1 – Funding Management</w:t>
      </w:r>
      <w:r>
        <w:t xml:space="preserve"> </w:t>
      </w:r>
      <w:r>
        <w:rPr>
          <w:i/>
          <w:iCs/>
          <w:sz w:val="16"/>
          <w:szCs w:val="16"/>
        </w:rPr>
        <w:t>Framework</w:t>
      </w:r>
    </w:p>
    <w:p w14:paraId="30CBD88E" w14:textId="77777777" w:rsidR="005924BC" w:rsidRPr="002364E7" w:rsidRDefault="005924BC" w:rsidP="005924BC">
      <w:pPr>
        <w:pStyle w:val="ListParagraph"/>
        <w:numPr>
          <w:ilvl w:val="1"/>
          <w:numId w:val="6"/>
        </w:numPr>
        <w:tabs>
          <w:tab w:val="clear" w:pos="-3060"/>
          <w:tab w:val="clear" w:pos="-2340"/>
          <w:tab w:val="clear" w:pos="6300"/>
        </w:tabs>
        <w:suppressAutoHyphens w:val="0"/>
        <w:spacing w:before="120"/>
        <w:contextualSpacing w:val="0"/>
      </w:pPr>
      <w:r w:rsidRPr="002364E7">
        <w:t>The central objective of this Policy framework is to improve transparency and accountability of funding administration through a consistently applied funding lifecycle (see Appendix A).</w:t>
      </w:r>
    </w:p>
    <w:p w14:paraId="173F8100" w14:textId="77777777" w:rsidR="005924BC" w:rsidRPr="002364E7" w:rsidRDefault="005924BC" w:rsidP="005924BC">
      <w:pPr>
        <w:pStyle w:val="ListParagraph"/>
        <w:numPr>
          <w:ilvl w:val="1"/>
          <w:numId w:val="6"/>
        </w:numPr>
        <w:tabs>
          <w:tab w:val="clear" w:pos="-3060"/>
          <w:tab w:val="clear" w:pos="-2340"/>
          <w:tab w:val="clear" w:pos="6300"/>
        </w:tabs>
        <w:suppressAutoHyphens w:val="0"/>
        <w:spacing w:before="120"/>
        <w:contextualSpacing w:val="0"/>
      </w:pPr>
      <w:r w:rsidRPr="002364E7">
        <w:t>The framework enhances the capacity to design and implement administrative arrangements to ensure that policy objectives are met, ensuring efficient and effective compliance with all applicable obligations. The framework guides the implementation of the Community Funding Policy and follows key steps in the funding lifecycle to ensure quality processes and continuous improvement.</w:t>
      </w:r>
    </w:p>
    <w:p w14:paraId="7A44A66D" w14:textId="77777777" w:rsidR="006F35F2" w:rsidRDefault="005924BC" w:rsidP="006F35F2">
      <w:pPr>
        <w:pStyle w:val="ListParagraph"/>
        <w:numPr>
          <w:ilvl w:val="1"/>
          <w:numId w:val="6"/>
        </w:numPr>
        <w:tabs>
          <w:tab w:val="clear" w:pos="-3060"/>
          <w:tab w:val="clear" w:pos="-2340"/>
          <w:tab w:val="clear" w:pos="6300"/>
        </w:tabs>
        <w:suppressAutoHyphens w:val="0"/>
        <w:spacing w:before="120"/>
        <w:contextualSpacing w:val="0"/>
      </w:pPr>
      <w:r w:rsidRPr="002364E7">
        <w:t>The framework also defines the roles and responsibilities of the various participants involved in the administration and delivery of funding and grant-making activities (see Appendix C).</w:t>
      </w:r>
    </w:p>
    <w:p w14:paraId="36B1A41A" w14:textId="77777777" w:rsidR="00FF57F0" w:rsidRDefault="00FF57F0" w:rsidP="00FF57F0"/>
    <w:p w14:paraId="5D4C0943" w14:textId="77777777" w:rsidR="006F35F2" w:rsidRDefault="00E721C9" w:rsidP="00E721C9">
      <w:pPr>
        <w:pStyle w:val="Heading3"/>
      </w:pPr>
      <w:bookmarkStart w:id="18" w:name="_Toc16760192"/>
      <w:r>
        <w:lastRenderedPageBreak/>
        <w:t>Community Investment Funding Model</w:t>
      </w:r>
      <w:bookmarkEnd w:id="18"/>
    </w:p>
    <w:p w14:paraId="490C414E" w14:textId="77777777" w:rsidR="006F35F2" w:rsidRDefault="00373EB6" w:rsidP="006F35F2">
      <w:pPr>
        <w:pStyle w:val="ListParagraph"/>
        <w:numPr>
          <w:ilvl w:val="1"/>
          <w:numId w:val="6"/>
        </w:numPr>
        <w:tabs>
          <w:tab w:val="clear" w:pos="-3060"/>
          <w:tab w:val="clear" w:pos="-2340"/>
          <w:tab w:val="clear" w:pos="6300"/>
        </w:tabs>
        <w:suppressAutoHyphens w:val="0"/>
        <w:spacing w:before="120"/>
        <w:contextualSpacing w:val="0"/>
      </w:pPr>
      <w:r>
        <w:t>As a key part of the Funding Management Framework, t</w:t>
      </w:r>
      <w:r w:rsidR="00FC43AE" w:rsidRPr="00FC43AE">
        <w:t>he Community Investment Funding Model provides one central entry point for the community to access grant funding aligned with improving outcomes for the City of Port Phillip community.</w:t>
      </w:r>
    </w:p>
    <w:p w14:paraId="763231BD" w14:textId="77777777" w:rsidR="006E3896" w:rsidRDefault="00FC43AE" w:rsidP="006E3896">
      <w:pPr>
        <w:pStyle w:val="ListParagraph"/>
        <w:numPr>
          <w:ilvl w:val="1"/>
          <w:numId w:val="6"/>
        </w:numPr>
        <w:tabs>
          <w:tab w:val="clear" w:pos="-3060"/>
          <w:tab w:val="clear" w:pos="-2340"/>
          <w:tab w:val="clear" w:pos="6300"/>
        </w:tabs>
        <w:suppressAutoHyphens w:val="0"/>
        <w:spacing w:before="120"/>
        <w:contextualSpacing w:val="0"/>
      </w:pPr>
      <w:r w:rsidRPr="00FC43AE">
        <w:t>It aligns the councils operational principles and Council Plan into streams of funding that enable consistent application of grant making, ability to leverage activity and an oversight of funding that is transparent and targeted for achieving outcomes.</w:t>
      </w:r>
    </w:p>
    <w:p w14:paraId="7EAB08C8" w14:textId="77777777" w:rsidR="006E3896" w:rsidRDefault="006E3896" w:rsidP="006E3896"/>
    <w:p w14:paraId="027CDADE" w14:textId="01D3AB5A" w:rsidR="000A7348" w:rsidRDefault="006E3896" w:rsidP="00FC43AE">
      <w:r>
        <w:drawing>
          <wp:inline distT="0" distB="0" distL="0" distR="0" wp14:anchorId="4DF05BBA" wp14:editId="43057424">
            <wp:extent cx="6181725" cy="5021580"/>
            <wp:effectExtent l="0" t="0" r="9525" b="7620"/>
            <wp:docPr id="6" name="Picture 6" descr="Community investment funding model, including strategic direction's, main streams and proces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mmunity Investment Model.jpg"/>
                    <pic:cNvPicPr/>
                  </pic:nvPicPr>
                  <pic:blipFill>
                    <a:blip r:embed="rId9"/>
                    <a:stretch>
                      <a:fillRect/>
                    </a:stretch>
                  </pic:blipFill>
                  <pic:spPr>
                    <a:xfrm>
                      <a:off x="0" y="0"/>
                      <a:ext cx="6181725" cy="5021580"/>
                    </a:xfrm>
                    <a:prstGeom prst="rect">
                      <a:avLst/>
                    </a:prstGeom>
                  </pic:spPr>
                </pic:pic>
              </a:graphicData>
            </a:graphic>
          </wp:inline>
        </w:drawing>
      </w:r>
      <w:r w:rsidR="000A7348">
        <w:br w:type="page"/>
      </w:r>
    </w:p>
    <w:p w14:paraId="16094E3B" w14:textId="77777777" w:rsidR="005924BC" w:rsidRDefault="00C552DF" w:rsidP="006F35F2">
      <w:pPr>
        <w:pStyle w:val="Heading2"/>
      </w:pPr>
      <w:bookmarkStart w:id="19" w:name="_Toc16760193"/>
      <w:r>
        <w:lastRenderedPageBreak/>
        <w:t>Conflict of interest</w:t>
      </w:r>
      <w:bookmarkEnd w:id="19"/>
    </w:p>
    <w:p w14:paraId="7E0AF08E" w14:textId="77777777" w:rsidR="005924BC" w:rsidRPr="002364E7" w:rsidRDefault="005924BC" w:rsidP="005924BC">
      <w:pPr>
        <w:pStyle w:val="ListParagraph"/>
        <w:numPr>
          <w:ilvl w:val="1"/>
          <w:numId w:val="6"/>
        </w:numPr>
        <w:tabs>
          <w:tab w:val="clear" w:pos="-3060"/>
          <w:tab w:val="clear" w:pos="-2340"/>
          <w:tab w:val="clear" w:pos="6300"/>
        </w:tabs>
        <w:suppressAutoHyphens w:val="0"/>
        <w:spacing w:before="120"/>
        <w:ind w:left="811" w:hanging="454"/>
        <w:contextualSpacing w:val="0"/>
        <w:rPr>
          <w:sz w:val="20"/>
        </w:rPr>
      </w:pPr>
      <w:r w:rsidRPr="002364E7">
        <w:rPr>
          <w:rFonts w:eastAsia="Gill Sans MT"/>
          <w:lang w:val="en-US"/>
        </w:rPr>
        <w:t xml:space="preserve">A conflict of interest occurs when there is a conflict between a person's private interests and their public obligations.  </w:t>
      </w:r>
    </w:p>
    <w:p w14:paraId="04BB8551" w14:textId="77777777" w:rsidR="005924BC" w:rsidRPr="002364E7" w:rsidRDefault="005924BC" w:rsidP="005924BC">
      <w:pPr>
        <w:pStyle w:val="ListParagraph"/>
        <w:numPr>
          <w:ilvl w:val="1"/>
          <w:numId w:val="6"/>
        </w:numPr>
        <w:tabs>
          <w:tab w:val="clear" w:pos="-3060"/>
          <w:tab w:val="clear" w:pos="-2340"/>
          <w:tab w:val="clear" w:pos="6300"/>
        </w:tabs>
        <w:suppressAutoHyphens w:val="0"/>
        <w:spacing w:before="120"/>
        <w:ind w:left="811" w:hanging="454"/>
        <w:contextualSpacing w:val="0"/>
        <w:rPr>
          <w:sz w:val="20"/>
        </w:rPr>
      </w:pPr>
      <w:r w:rsidRPr="002364E7">
        <w:rPr>
          <w:rFonts w:eastAsia="Gill Sans MT"/>
          <w:lang w:val="en-US"/>
        </w:rPr>
        <w:t>All Council</w:t>
      </w:r>
      <w:r w:rsidR="002364E7">
        <w:rPr>
          <w:rFonts w:eastAsia="Gill Sans MT"/>
          <w:lang w:val="en-US"/>
        </w:rPr>
        <w:t>l</w:t>
      </w:r>
      <w:r w:rsidRPr="002364E7">
        <w:rPr>
          <w:rFonts w:eastAsia="Gill Sans MT"/>
          <w:lang w:val="en-US"/>
        </w:rPr>
        <w:t xml:space="preserve">ors, </w:t>
      </w:r>
      <w:r w:rsidR="009C59DC" w:rsidRPr="002364E7">
        <w:rPr>
          <w:rFonts w:eastAsia="Gill Sans MT"/>
          <w:lang w:val="en-US"/>
        </w:rPr>
        <w:t>c</w:t>
      </w:r>
      <w:r w:rsidRPr="002364E7">
        <w:rPr>
          <w:rFonts w:eastAsia="Gill Sans MT"/>
          <w:lang w:val="en-US"/>
        </w:rPr>
        <w:t xml:space="preserve">ouncil officers and community members involved in funding assessment processes are required to declare their interests prior to assessing any applications or reviewing project evaluations and reports.  This process ensures that any </w:t>
      </w:r>
      <w:r w:rsidRPr="002364E7">
        <w:rPr>
          <w:rFonts w:eastAsia="Gill Sans MT"/>
          <w:b/>
          <w:bCs/>
          <w:lang w:val="en-US"/>
        </w:rPr>
        <w:t>potential</w:t>
      </w:r>
      <w:r w:rsidRPr="002364E7">
        <w:rPr>
          <w:rFonts w:eastAsia="Gill Sans MT"/>
          <w:lang w:val="en-US"/>
        </w:rPr>
        <w:t xml:space="preserve">, </w:t>
      </w:r>
      <w:r w:rsidRPr="002364E7">
        <w:rPr>
          <w:rFonts w:eastAsia="Gill Sans MT"/>
          <w:b/>
          <w:bCs/>
          <w:lang w:val="en-US"/>
        </w:rPr>
        <w:t xml:space="preserve">actual </w:t>
      </w:r>
      <w:r w:rsidRPr="002364E7">
        <w:rPr>
          <w:rFonts w:eastAsia="Gill Sans MT"/>
          <w:lang w:val="en-US"/>
        </w:rPr>
        <w:t xml:space="preserve">or </w:t>
      </w:r>
      <w:r w:rsidRPr="002364E7">
        <w:rPr>
          <w:rFonts w:eastAsia="Gill Sans MT"/>
          <w:b/>
          <w:bCs/>
          <w:lang w:val="en-US"/>
        </w:rPr>
        <w:t xml:space="preserve">perceived conflict of interest </w:t>
      </w:r>
      <w:r w:rsidRPr="002364E7">
        <w:rPr>
          <w:rFonts w:eastAsia="Gill Sans MT"/>
          <w:lang w:val="en-US"/>
        </w:rPr>
        <w:t xml:space="preserve">is promptly identified and managed appropriately. </w:t>
      </w:r>
    </w:p>
    <w:p w14:paraId="28F62AC0" w14:textId="77777777" w:rsidR="005924BC" w:rsidRDefault="005924BC" w:rsidP="005924BC">
      <w:pPr>
        <w:pStyle w:val="ListParagraph"/>
        <w:numPr>
          <w:ilvl w:val="1"/>
          <w:numId w:val="6"/>
        </w:numPr>
        <w:tabs>
          <w:tab w:val="clear" w:pos="-3060"/>
          <w:tab w:val="clear" w:pos="-2340"/>
          <w:tab w:val="clear" w:pos="6300"/>
        </w:tabs>
        <w:suppressAutoHyphens w:val="0"/>
        <w:spacing w:before="120"/>
        <w:ind w:left="811" w:hanging="454"/>
        <w:contextualSpacing w:val="0"/>
        <w:rPr>
          <w:rFonts w:eastAsia="Gill Sans MT"/>
          <w:lang w:val="en-US" w:eastAsia="en-US"/>
        </w:rPr>
      </w:pPr>
      <w:r w:rsidRPr="002364E7">
        <w:rPr>
          <w:rFonts w:eastAsia="Gill Sans MT"/>
          <w:lang w:val="en-US"/>
        </w:rPr>
        <w:t xml:space="preserve">In the event of a conflict of interest, the relevant person must decline to participate in any discussion about the application or report and </w:t>
      </w:r>
      <w:r w:rsidR="002364E7">
        <w:rPr>
          <w:rFonts w:eastAsia="Gill Sans MT"/>
          <w:lang w:val="en-US"/>
        </w:rPr>
        <w:t xml:space="preserve">have </w:t>
      </w:r>
      <w:r w:rsidRPr="002364E7">
        <w:rPr>
          <w:rFonts w:eastAsia="Gill Sans MT"/>
          <w:lang w:val="en-US"/>
        </w:rPr>
        <w:t xml:space="preserve">this declaration noted </w:t>
      </w:r>
      <w:r w:rsidR="002364E7">
        <w:rPr>
          <w:rFonts w:eastAsia="Gill Sans MT"/>
          <w:lang w:val="en-US"/>
        </w:rPr>
        <w:t xml:space="preserve">as per </w:t>
      </w:r>
      <w:r w:rsidRPr="002364E7">
        <w:rPr>
          <w:rFonts w:eastAsia="Gill Sans MT"/>
          <w:lang w:val="en-US"/>
        </w:rPr>
        <w:t>Counci</w:t>
      </w:r>
      <w:r w:rsidR="002364E7">
        <w:rPr>
          <w:rFonts w:eastAsia="Gill Sans MT"/>
          <w:lang w:val="en-US"/>
        </w:rPr>
        <w:t>l’s conflict of interest process.</w:t>
      </w:r>
    </w:p>
    <w:p w14:paraId="06D2D5AE" w14:textId="77777777" w:rsidR="00D54C2D" w:rsidRPr="002364E7" w:rsidRDefault="00D54C2D" w:rsidP="00D54C2D">
      <w:pPr>
        <w:pStyle w:val="ListParagraph"/>
        <w:tabs>
          <w:tab w:val="clear" w:pos="-3060"/>
          <w:tab w:val="clear" w:pos="-2340"/>
          <w:tab w:val="clear" w:pos="6300"/>
        </w:tabs>
        <w:suppressAutoHyphens w:val="0"/>
        <w:spacing w:before="120"/>
        <w:ind w:left="811"/>
        <w:contextualSpacing w:val="0"/>
        <w:rPr>
          <w:rFonts w:eastAsia="Gill Sans MT"/>
          <w:lang w:val="en-US" w:eastAsia="en-US"/>
        </w:rPr>
      </w:pPr>
    </w:p>
    <w:p w14:paraId="615C2417" w14:textId="4375C4CB" w:rsidR="005924BC" w:rsidRDefault="005924BC" w:rsidP="006F35F2">
      <w:pPr>
        <w:pStyle w:val="Heading2"/>
      </w:pPr>
      <w:bookmarkStart w:id="20" w:name="_Toc380755465"/>
      <w:bookmarkStart w:id="21" w:name="_Toc16760194"/>
      <w:r w:rsidRPr="005924BC">
        <w:t>R</w:t>
      </w:r>
      <w:r w:rsidR="00C552DF">
        <w:t>elevant</w:t>
      </w:r>
      <w:r w:rsidRPr="005924BC">
        <w:t xml:space="preserve"> </w:t>
      </w:r>
      <w:r w:rsidR="00C552DF">
        <w:t>legislation</w:t>
      </w:r>
      <w:r w:rsidRPr="005924BC">
        <w:t xml:space="preserve">, </w:t>
      </w:r>
      <w:r w:rsidR="00C552DF">
        <w:t>policies</w:t>
      </w:r>
      <w:r w:rsidRPr="005924BC">
        <w:t xml:space="preserve"> and other </w:t>
      </w:r>
      <w:bookmarkEnd w:id="20"/>
      <w:r w:rsidR="00C552DF">
        <w:t>documents</w:t>
      </w:r>
      <w:bookmarkEnd w:id="21"/>
    </w:p>
    <w:p w14:paraId="018852E9" w14:textId="0106A87B" w:rsidR="002D504F" w:rsidRDefault="002D504F" w:rsidP="002D504F">
      <w:pPr>
        <w:pStyle w:val="Heading3"/>
        <w:rPr>
          <w:rFonts w:eastAsia="Gill Sans MT"/>
        </w:rPr>
      </w:pPr>
      <w:r>
        <w:rPr>
          <w:rFonts w:eastAsia="Gill Sans MT"/>
        </w:rPr>
        <w:t>Legislation</w:t>
      </w:r>
    </w:p>
    <w:p w14:paraId="7D425499" w14:textId="77777777" w:rsidR="002D504F" w:rsidRPr="002D504F" w:rsidRDefault="002D504F" w:rsidP="002D504F">
      <w:pPr>
        <w:pStyle w:val="NormalBullets"/>
        <w:rPr>
          <w:lang w:val="en-US"/>
        </w:rPr>
      </w:pPr>
      <w:r w:rsidRPr="002D504F">
        <w:rPr>
          <w:lang w:val="en-US"/>
        </w:rPr>
        <w:t>Local Government Act 1989</w:t>
      </w:r>
    </w:p>
    <w:p w14:paraId="777A2237" w14:textId="74B47AC6" w:rsidR="002D504F" w:rsidRPr="002D504F" w:rsidRDefault="002D504F" w:rsidP="002D504F">
      <w:pPr>
        <w:pStyle w:val="NormalBullets"/>
        <w:rPr>
          <w:lang w:val="en-US"/>
        </w:rPr>
      </w:pPr>
      <w:r w:rsidRPr="002D504F">
        <w:rPr>
          <w:lang w:val="en-US"/>
        </w:rPr>
        <w:t>City of Port Phillip - Local Law No. 1 (Community Amenity) 2013</w:t>
      </w:r>
    </w:p>
    <w:p w14:paraId="02AA159A" w14:textId="4D8CAB99" w:rsidR="002D504F" w:rsidRDefault="002D504F" w:rsidP="002D504F">
      <w:pPr>
        <w:pStyle w:val="Heading3"/>
        <w:rPr>
          <w:rFonts w:eastAsia="Gill Sans MT"/>
        </w:rPr>
      </w:pPr>
      <w:r>
        <w:rPr>
          <w:rFonts w:eastAsia="Gill Sans MT"/>
        </w:rPr>
        <w:t>Policies and other documents</w:t>
      </w:r>
    </w:p>
    <w:p w14:paraId="3803256D" w14:textId="77777777" w:rsidR="002D504F" w:rsidRPr="002D504F" w:rsidRDefault="002D504F" w:rsidP="002D504F">
      <w:pPr>
        <w:pStyle w:val="NormalBullets"/>
      </w:pPr>
      <w:r w:rsidRPr="002D504F">
        <w:t>City of Port Phillip Council Plan 2017-27</w:t>
      </w:r>
    </w:p>
    <w:p w14:paraId="6BBF8A8E" w14:textId="77777777" w:rsidR="002D504F" w:rsidRPr="002D504F" w:rsidRDefault="002D504F" w:rsidP="002D504F">
      <w:pPr>
        <w:pStyle w:val="NormalBullets"/>
      </w:pPr>
      <w:r w:rsidRPr="002D504F">
        <w:t>City of Port Phillip Health and Wellbeing Implementation Strategy 2017-21</w:t>
      </w:r>
    </w:p>
    <w:p w14:paraId="2E336020" w14:textId="77777777" w:rsidR="002D504F" w:rsidRPr="002D504F" w:rsidRDefault="002D504F" w:rsidP="002D504F">
      <w:pPr>
        <w:pStyle w:val="NormalBullets"/>
      </w:pPr>
      <w:r w:rsidRPr="002D504F">
        <w:t>City of Port Phillip Risk Management Policy and Risk Management Framework</w:t>
      </w:r>
    </w:p>
    <w:p w14:paraId="03FB6CE4" w14:textId="77777777" w:rsidR="002D504F" w:rsidRPr="002D504F" w:rsidRDefault="002D504F" w:rsidP="002D504F">
      <w:pPr>
        <w:pStyle w:val="NormalBullets"/>
      </w:pPr>
      <w:r w:rsidRPr="002D504F">
        <w:t>City of Port Phillip Procurement Policy</w:t>
      </w:r>
    </w:p>
    <w:p w14:paraId="5F8D2252" w14:textId="77777777" w:rsidR="002D504F" w:rsidRPr="002D504F" w:rsidRDefault="002D504F" w:rsidP="002D504F">
      <w:pPr>
        <w:pStyle w:val="NormalBullets"/>
      </w:pPr>
      <w:r w:rsidRPr="002D504F">
        <w:t>City Of Port Phillip Social Justice Charter</w:t>
      </w:r>
    </w:p>
    <w:p w14:paraId="446A862C" w14:textId="77777777" w:rsidR="002D504F" w:rsidRPr="002D504F" w:rsidRDefault="002D504F" w:rsidP="002D504F">
      <w:pPr>
        <w:pStyle w:val="NormalBullets"/>
      </w:pPr>
      <w:r w:rsidRPr="002D504F">
        <w:t>City of Port Phillip Creative and Prosperous City Strategy (draft)</w:t>
      </w:r>
    </w:p>
    <w:p w14:paraId="3EA99E64" w14:textId="7CFE6B54" w:rsidR="005924BC" w:rsidRPr="002D504F" w:rsidRDefault="002D504F" w:rsidP="005924BC">
      <w:pPr>
        <w:pStyle w:val="NormalBullets"/>
        <w:rPr>
          <w:lang w:val="en-US"/>
        </w:rPr>
      </w:pPr>
      <w:r w:rsidRPr="002D504F">
        <w:t>City of Port Phillip Organsational Strategy</w:t>
      </w:r>
    </w:p>
    <w:p w14:paraId="0C2E4AB5" w14:textId="77777777" w:rsidR="005924BC" w:rsidRDefault="00C552DF" w:rsidP="006F35F2">
      <w:pPr>
        <w:pStyle w:val="Heading2"/>
      </w:pPr>
      <w:bookmarkStart w:id="22" w:name="_Toc16760195"/>
      <w:r>
        <w:t>Review and feedback</w:t>
      </w:r>
      <w:bookmarkEnd w:id="22"/>
    </w:p>
    <w:p w14:paraId="66F4C497" w14:textId="77777777" w:rsidR="005924BC" w:rsidRPr="002364E7" w:rsidRDefault="005924BC" w:rsidP="005924BC">
      <w:pPr>
        <w:pStyle w:val="ListParagraph"/>
        <w:numPr>
          <w:ilvl w:val="1"/>
          <w:numId w:val="6"/>
        </w:numPr>
        <w:tabs>
          <w:tab w:val="clear" w:pos="-3060"/>
          <w:tab w:val="clear" w:pos="-2340"/>
          <w:tab w:val="clear" w:pos="6300"/>
        </w:tabs>
        <w:suppressAutoHyphens w:val="0"/>
        <w:spacing w:before="120"/>
        <w:ind w:left="811" w:hanging="454"/>
        <w:contextualSpacing w:val="0"/>
      </w:pPr>
      <w:r w:rsidRPr="002364E7">
        <w:t xml:space="preserve">The Community Funding Policy will be reviewed, updated and improved every 12 months. </w:t>
      </w:r>
    </w:p>
    <w:p w14:paraId="4E481752" w14:textId="70067485" w:rsidR="005924BC" w:rsidRPr="002D504F" w:rsidRDefault="005924BC" w:rsidP="00EC2340">
      <w:pPr>
        <w:pStyle w:val="ListParagraph"/>
        <w:numPr>
          <w:ilvl w:val="1"/>
          <w:numId w:val="6"/>
        </w:numPr>
        <w:tabs>
          <w:tab w:val="clear" w:pos="-3060"/>
          <w:tab w:val="clear" w:pos="-2340"/>
          <w:tab w:val="clear" w:pos="6300"/>
        </w:tabs>
        <w:suppressAutoHyphens w:val="0"/>
        <w:spacing w:before="120"/>
        <w:ind w:left="811" w:hanging="454"/>
        <w:contextualSpacing w:val="0"/>
        <w:rPr>
          <w:rFonts w:ascii="Gill Sans MT" w:hAnsi="Gill Sans MT"/>
        </w:rPr>
      </w:pPr>
      <w:r w:rsidRPr="002364E7">
        <w:t xml:space="preserve">Feedback about this document may be made by email to </w:t>
      </w:r>
      <w:hyperlink r:id="rId10" w:history="1">
        <w:r w:rsidR="00E65C3E" w:rsidRPr="002364E7">
          <w:rPr>
            <w:rStyle w:val="Hyperlink"/>
          </w:rPr>
          <w:t>grants@portphillip.vic.gov.au</w:t>
        </w:r>
      </w:hyperlink>
      <w:r w:rsidRPr="002D504F">
        <w:rPr>
          <w:rFonts w:ascii="Gill Sans MT" w:hAnsi="Gill Sans MT"/>
        </w:rPr>
        <w:br w:type="page"/>
      </w:r>
    </w:p>
    <w:p w14:paraId="05FCBB74" w14:textId="77777777" w:rsidR="005924BC" w:rsidRDefault="00C552DF" w:rsidP="00334F83">
      <w:pPr>
        <w:pStyle w:val="Heading2"/>
      </w:pPr>
      <w:bookmarkStart w:id="23" w:name="_Toc16760196"/>
      <w:r>
        <w:lastRenderedPageBreak/>
        <w:t xml:space="preserve">Appendix </w:t>
      </w:r>
      <w:r w:rsidR="00855EDA">
        <w:t>A</w:t>
      </w:r>
      <w:bookmarkEnd w:id="23"/>
    </w:p>
    <w:p w14:paraId="4BB002F8" w14:textId="77777777" w:rsidR="005924BC" w:rsidRPr="00855EDA" w:rsidRDefault="005924BC" w:rsidP="00855EDA">
      <w:r w:rsidRPr="00855EDA">
        <w:t xml:space="preserve">Steps in the funding lifecycle </w:t>
      </w:r>
    </w:p>
    <w:p w14:paraId="3A6EB5EB" w14:textId="77777777" w:rsidR="005924BC" w:rsidRDefault="005924BC" w:rsidP="005924BC">
      <w:pPr>
        <w:spacing w:before="60" w:after="60"/>
        <w:ind w:left="357" w:hanging="454"/>
        <w:rPr>
          <w:rFonts w:ascii="Gill Sans MT" w:hAnsi="Gill Sans MT"/>
        </w:rPr>
      </w:pPr>
    </w:p>
    <w:p w14:paraId="4445B956" w14:textId="77777777" w:rsidR="005924BC" w:rsidRDefault="005924BC" w:rsidP="005924BC">
      <w:pPr>
        <w:spacing w:before="60" w:after="60"/>
        <w:ind w:left="357" w:hanging="454"/>
        <w:rPr>
          <w:rFonts w:ascii="Gill Sans MT" w:hAnsi="Gill Sans MT"/>
          <w:b/>
          <w:sz w:val="24"/>
        </w:rPr>
      </w:pPr>
      <w:r>
        <w:drawing>
          <wp:inline distT="0" distB="0" distL="0" distR="0" wp14:anchorId="6F15D8F0" wp14:editId="18A3C8F4">
            <wp:extent cx="6191250" cy="3467100"/>
            <wp:effectExtent l="0" t="0" r="0" b="0"/>
            <wp:docPr id="3" name="Picture 3" descr="Funding Lifecycle including planning,design,delivery,dynamics and impr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1250" cy="3467100"/>
                    </a:xfrm>
                    <a:prstGeom prst="rect">
                      <a:avLst/>
                    </a:prstGeom>
                    <a:noFill/>
                    <a:ln>
                      <a:noFill/>
                    </a:ln>
                  </pic:spPr>
                </pic:pic>
              </a:graphicData>
            </a:graphic>
          </wp:inline>
        </w:drawing>
      </w:r>
      <w:r>
        <w:rPr>
          <w:rFonts w:ascii="Gill Sans MT" w:hAnsi="Gill Sans MT"/>
          <w:lang w:val="en-US"/>
        </w:rPr>
        <w:t xml:space="preserve"> </w:t>
      </w:r>
      <w:r>
        <w:rPr>
          <w:rFonts w:ascii="Gill Sans MT" w:hAnsi="Gill Sans MT"/>
        </w:rPr>
        <w:br w:type="page"/>
      </w:r>
    </w:p>
    <w:p w14:paraId="41E3DE3A" w14:textId="77777777" w:rsidR="005924BC" w:rsidRPr="00855EDA" w:rsidRDefault="005924BC" w:rsidP="00334F83">
      <w:pPr>
        <w:pStyle w:val="Heading2"/>
      </w:pPr>
      <w:bookmarkStart w:id="24" w:name="_Toc16760197"/>
      <w:r w:rsidRPr="00855EDA">
        <w:lastRenderedPageBreak/>
        <w:t>A</w:t>
      </w:r>
      <w:r w:rsidR="00C552DF" w:rsidRPr="00855EDA">
        <w:t xml:space="preserve">ppendix </w:t>
      </w:r>
      <w:r w:rsidR="00855EDA" w:rsidRPr="00855EDA">
        <w:t>B</w:t>
      </w:r>
      <w:bookmarkEnd w:id="24"/>
    </w:p>
    <w:p w14:paraId="5DD12392" w14:textId="77777777" w:rsidR="005924BC" w:rsidRPr="00855EDA" w:rsidRDefault="005924BC" w:rsidP="00855EDA">
      <w:r w:rsidRPr="00855EDA">
        <w:t>Key elements of funding structures</w:t>
      </w:r>
    </w:p>
    <w:p w14:paraId="3B4E8356" w14:textId="77777777" w:rsidR="005924BC" w:rsidRDefault="005924BC" w:rsidP="005924BC">
      <w:pPr>
        <w:rPr>
          <w:lang w:eastAsia="en-US"/>
        </w:rPr>
      </w:pPr>
    </w:p>
    <w:p w14:paraId="4E115847" w14:textId="77777777" w:rsidR="005924BC" w:rsidRDefault="005924BC" w:rsidP="005924BC"/>
    <w:p w14:paraId="0A747410" w14:textId="77777777" w:rsidR="005924BC" w:rsidRDefault="005924BC" w:rsidP="005924BC">
      <w:r>
        <w:drawing>
          <wp:inline distT="0" distB="0" distL="0" distR="0" wp14:anchorId="34305457" wp14:editId="78AF06C2">
            <wp:extent cx="5486400" cy="3867150"/>
            <wp:effectExtent l="0" t="0" r="0" b="0"/>
            <wp:docPr id="2" name="Picture 2" descr="Key elements funding pyramid including legislation, council plan, funding policy, funding management framework and funding life cycle- ope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3867150"/>
                    </a:xfrm>
                    <a:prstGeom prst="rect">
                      <a:avLst/>
                    </a:prstGeom>
                    <a:noFill/>
                    <a:ln>
                      <a:noFill/>
                    </a:ln>
                  </pic:spPr>
                </pic:pic>
              </a:graphicData>
            </a:graphic>
          </wp:inline>
        </w:drawing>
      </w:r>
    </w:p>
    <w:p w14:paraId="30953C3E" w14:textId="77777777" w:rsidR="005924BC" w:rsidRDefault="005924BC" w:rsidP="005924BC"/>
    <w:p w14:paraId="6834D35D" w14:textId="77777777" w:rsidR="005924BC" w:rsidRDefault="005924BC" w:rsidP="005924BC">
      <w:r>
        <w:br w:type="page"/>
      </w:r>
    </w:p>
    <w:p w14:paraId="2ECADB35" w14:textId="77777777" w:rsidR="005924BC" w:rsidRPr="00334F83" w:rsidRDefault="005924BC" w:rsidP="00334F83">
      <w:pPr>
        <w:pStyle w:val="Heading2"/>
      </w:pPr>
      <w:bookmarkStart w:id="25" w:name="_Toc16760198"/>
      <w:r>
        <w:lastRenderedPageBreak/>
        <w:t>A</w:t>
      </w:r>
      <w:r w:rsidR="00C552DF">
        <w:t xml:space="preserve">ppendix </w:t>
      </w:r>
      <w:r w:rsidR="00855EDA">
        <w:t>C</w:t>
      </w:r>
      <w:bookmarkEnd w:id="25"/>
    </w:p>
    <w:p w14:paraId="374856F2" w14:textId="77777777" w:rsidR="005924BC" w:rsidRPr="002364E7" w:rsidRDefault="00855EDA" w:rsidP="005924BC">
      <w:pPr>
        <w:spacing w:before="60" w:after="60"/>
        <w:ind w:left="357" w:hanging="454"/>
        <w:rPr>
          <w:color w:val="auto"/>
        </w:rPr>
      </w:pPr>
      <w:r>
        <w:t xml:space="preserve"> </w:t>
      </w:r>
      <w:r w:rsidR="005924BC" w:rsidRPr="002364E7">
        <w:t>Summary of Governance roles involved in funding at the City of Port Phillip</w:t>
      </w:r>
      <w:r w:rsidR="002364E7">
        <w:t>:</w:t>
      </w:r>
    </w:p>
    <w:p w14:paraId="6D3C61D2" w14:textId="77777777" w:rsidR="005924BC" w:rsidRPr="002364E7" w:rsidRDefault="005924BC" w:rsidP="005924BC">
      <w:pPr>
        <w:spacing w:before="60" w:after="60"/>
        <w:ind w:left="357" w:hanging="454"/>
      </w:pPr>
    </w:p>
    <w:p w14:paraId="4081A24F" w14:textId="77777777" w:rsidR="005924BC" w:rsidRPr="002364E7" w:rsidRDefault="005924BC" w:rsidP="005924BC">
      <w:pPr>
        <w:pStyle w:val="ListParagraph"/>
        <w:numPr>
          <w:ilvl w:val="0"/>
          <w:numId w:val="13"/>
        </w:numPr>
        <w:tabs>
          <w:tab w:val="clear" w:pos="-3060"/>
          <w:tab w:val="clear" w:pos="-2340"/>
          <w:tab w:val="clear" w:pos="6300"/>
        </w:tabs>
        <w:suppressAutoHyphens w:val="0"/>
        <w:spacing w:before="60" w:after="60"/>
        <w:contextualSpacing w:val="0"/>
        <w:rPr>
          <w:rFonts w:eastAsia="Gill Sans MT"/>
          <w:b/>
          <w:bCs/>
          <w:lang w:eastAsia="en-US"/>
        </w:rPr>
      </w:pPr>
      <w:r w:rsidRPr="002364E7">
        <w:rPr>
          <w:rFonts w:eastAsia="Gill Sans MT"/>
          <w:b/>
          <w:bCs/>
        </w:rPr>
        <w:t>Council</w:t>
      </w:r>
    </w:p>
    <w:p w14:paraId="483C95A1" w14:textId="77777777" w:rsidR="005924BC" w:rsidRPr="002364E7" w:rsidRDefault="005924BC" w:rsidP="005924BC">
      <w:pPr>
        <w:pStyle w:val="ListParagraph"/>
        <w:spacing w:before="60" w:after="60"/>
        <w:ind w:left="360"/>
        <w:rPr>
          <w:rFonts w:eastAsia="Gill Sans MT"/>
          <w:bCs/>
        </w:rPr>
      </w:pPr>
      <w:r w:rsidRPr="002364E7">
        <w:rPr>
          <w:rFonts w:eastAsia="Gill Sans MT"/>
          <w:bCs/>
        </w:rPr>
        <w:t>Approve the Community Funding Policy and associated updates on an annual basis to:</w:t>
      </w:r>
    </w:p>
    <w:p w14:paraId="57450EAA" w14:textId="77777777" w:rsidR="005924BC" w:rsidRPr="002364E7" w:rsidRDefault="00A66E08" w:rsidP="005924BC">
      <w:pPr>
        <w:pStyle w:val="ListParagraph"/>
        <w:numPr>
          <w:ilvl w:val="0"/>
          <w:numId w:val="14"/>
        </w:numPr>
        <w:tabs>
          <w:tab w:val="clear" w:pos="-3060"/>
          <w:tab w:val="clear" w:pos="-2340"/>
          <w:tab w:val="clear" w:pos="6300"/>
        </w:tabs>
        <w:suppressAutoHyphens w:val="0"/>
        <w:spacing w:before="60" w:after="60"/>
        <w:contextualSpacing w:val="0"/>
        <w:rPr>
          <w:rFonts w:eastAsia="Gill Sans MT"/>
          <w:bCs/>
        </w:rPr>
      </w:pPr>
      <w:r w:rsidRPr="002364E7">
        <w:rPr>
          <w:rFonts w:eastAsia="Gill Sans MT"/>
          <w:bCs/>
        </w:rPr>
        <w:t>e</w:t>
      </w:r>
      <w:r w:rsidR="005924BC" w:rsidRPr="002364E7">
        <w:rPr>
          <w:rFonts w:eastAsia="Gill Sans MT"/>
          <w:bCs/>
        </w:rPr>
        <w:t>nsure alignment with Council’s strategic objectives and community needs</w:t>
      </w:r>
    </w:p>
    <w:p w14:paraId="0F506D0C" w14:textId="77777777" w:rsidR="005924BC" w:rsidRPr="002364E7" w:rsidRDefault="00A66E08" w:rsidP="005924BC">
      <w:pPr>
        <w:pStyle w:val="ListParagraph"/>
        <w:numPr>
          <w:ilvl w:val="0"/>
          <w:numId w:val="14"/>
        </w:numPr>
        <w:tabs>
          <w:tab w:val="clear" w:pos="-3060"/>
          <w:tab w:val="clear" w:pos="-2340"/>
          <w:tab w:val="clear" w:pos="6300"/>
        </w:tabs>
        <w:suppressAutoHyphens w:val="0"/>
        <w:spacing w:before="60" w:after="60"/>
        <w:contextualSpacing w:val="0"/>
        <w:rPr>
          <w:rFonts w:eastAsia="Gill Sans MT"/>
          <w:bCs/>
        </w:rPr>
      </w:pPr>
      <w:r w:rsidRPr="002364E7">
        <w:rPr>
          <w:rFonts w:eastAsia="Gill Sans MT"/>
          <w:bCs/>
        </w:rPr>
        <w:t>s</w:t>
      </w:r>
      <w:r w:rsidR="005924BC" w:rsidRPr="002364E7">
        <w:rPr>
          <w:rFonts w:eastAsia="Gill Sans MT"/>
          <w:bCs/>
        </w:rPr>
        <w:t>upport planning and decision making and achievement of community outcomes.</w:t>
      </w:r>
    </w:p>
    <w:p w14:paraId="1B741E4F" w14:textId="77777777" w:rsidR="005924BC" w:rsidRPr="002364E7" w:rsidRDefault="005924BC" w:rsidP="005924BC">
      <w:pPr>
        <w:pStyle w:val="ListParagraph"/>
        <w:spacing w:before="60" w:after="60"/>
        <w:ind w:left="1080"/>
      </w:pPr>
    </w:p>
    <w:p w14:paraId="50BB71F9" w14:textId="77777777" w:rsidR="005924BC" w:rsidRPr="002364E7" w:rsidRDefault="005924BC" w:rsidP="005924BC">
      <w:pPr>
        <w:pStyle w:val="ListParagraph"/>
        <w:numPr>
          <w:ilvl w:val="0"/>
          <w:numId w:val="13"/>
        </w:numPr>
        <w:tabs>
          <w:tab w:val="clear" w:pos="-3060"/>
          <w:tab w:val="clear" w:pos="-2340"/>
          <w:tab w:val="clear" w:pos="6300"/>
        </w:tabs>
        <w:suppressAutoHyphens w:val="0"/>
        <w:spacing w:before="60" w:after="60"/>
        <w:contextualSpacing w:val="0"/>
        <w:rPr>
          <w:rFonts w:eastAsia="Gill Sans MT"/>
          <w:b/>
          <w:bCs/>
        </w:rPr>
      </w:pPr>
      <w:r w:rsidRPr="002364E7">
        <w:rPr>
          <w:rFonts w:eastAsia="Gill Sans MT"/>
          <w:b/>
          <w:bCs/>
        </w:rPr>
        <w:t>Executive Leadership Team</w:t>
      </w:r>
    </w:p>
    <w:p w14:paraId="42103CEA" w14:textId="77777777" w:rsidR="005924BC" w:rsidRPr="002364E7" w:rsidRDefault="005924BC" w:rsidP="005924BC">
      <w:pPr>
        <w:pStyle w:val="ListParagraph"/>
        <w:spacing w:before="60" w:after="60"/>
        <w:ind w:left="360"/>
        <w:rPr>
          <w:rFonts w:eastAsia="Gill Sans MT"/>
          <w:bCs/>
        </w:rPr>
      </w:pPr>
      <w:r w:rsidRPr="002364E7">
        <w:rPr>
          <w:rFonts w:eastAsia="Gill Sans MT"/>
          <w:bCs/>
        </w:rPr>
        <w:t>Support Council decision making by:</w:t>
      </w:r>
    </w:p>
    <w:p w14:paraId="03FDC696" w14:textId="77777777" w:rsidR="005924BC" w:rsidRPr="002364E7" w:rsidRDefault="00A66E08" w:rsidP="005924BC">
      <w:pPr>
        <w:pStyle w:val="ListParagraph"/>
        <w:numPr>
          <w:ilvl w:val="0"/>
          <w:numId w:val="14"/>
        </w:numPr>
        <w:tabs>
          <w:tab w:val="clear" w:pos="-3060"/>
          <w:tab w:val="clear" w:pos="-2340"/>
          <w:tab w:val="clear" w:pos="6300"/>
        </w:tabs>
        <w:suppressAutoHyphens w:val="0"/>
        <w:spacing w:before="60" w:after="60"/>
        <w:contextualSpacing w:val="0"/>
        <w:rPr>
          <w:rFonts w:eastAsia="Gill Sans MT"/>
          <w:bCs/>
        </w:rPr>
      </w:pPr>
      <w:r w:rsidRPr="002364E7">
        <w:rPr>
          <w:rFonts w:eastAsia="Gill Sans MT"/>
          <w:bCs/>
        </w:rPr>
        <w:t>e</w:t>
      </w:r>
      <w:r w:rsidR="005924BC" w:rsidRPr="002364E7">
        <w:rPr>
          <w:rFonts w:eastAsia="Gill Sans MT"/>
          <w:bCs/>
        </w:rPr>
        <w:t>ndorsing the Community Funding Policy for approval by Council</w:t>
      </w:r>
    </w:p>
    <w:p w14:paraId="39B81959" w14:textId="77777777" w:rsidR="005924BC" w:rsidRPr="002364E7" w:rsidRDefault="00A66E08" w:rsidP="005924BC">
      <w:pPr>
        <w:pStyle w:val="ListParagraph"/>
        <w:numPr>
          <w:ilvl w:val="0"/>
          <w:numId w:val="14"/>
        </w:numPr>
        <w:tabs>
          <w:tab w:val="clear" w:pos="-3060"/>
          <w:tab w:val="clear" w:pos="-2340"/>
          <w:tab w:val="clear" w:pos="6300"/>
        </w:tabs>
        <w:suppressAutoHyphens w:val="0"/>
        <w:spacing w:before="60" w:after="60"/>
        <w:contextualSpacing w:val="0"/>
        <w:rPr>
          <w:rFonts w:eastAsia="Gill Sans MT"/>
          <w:bCs/>
        </w:rPr>
      </w:pPr>
      <w:r w:rsidRPr="002364E7">
        <w:rPr>
          <w:rFonts w:eastAsia="Gill Sans MT"/>
          <w:bCs/>
        </w:rPr>
        <w:t>e</w:t>
      </w:r>
      <w:r w:rsidR="005924BC" w:rsidRPr="002364E7">
        <w:rPr>
          <w:rFonts w:eastAsia="Gill Sans MT"/>
          <w:bCs/>
        </w:rPr>
        <w:t xml:space="preserve">nsure </w:t>
      </w:r>
      <w:r w:rsidR="005924BC" w:rsidRPr="002364E7">
        <w:t xml:space="preserve">that funding processes reflect strategic objectives and are delivered in a fair and transparent manner </w:t>
      </w:r>
    </w:p>
    <w:p w14:paraId="66B12F4A" w14:textId="77777777" w:rsidR="005924BC" w:rsidRPr="002364E7" w:rsidRDefault="00A66E08" w:rsidP="005924BC">
      <w:pPr>
        <w:pStyle w:val="ListParagraph"/>
        <w:numPr>
          <w:ilvl w:val="0"/>
          <w:numId w:val="14"/>
        </w:numPr>
        <w:tabs>
          <w:tab w:val="clear" w:pos="-3060"/>
          <w:tab w:val="clear" w:pos="-2340"/>
          <w:tab w:val="clear" w:pos="6300"/>
        </w:tabs>
        <w:suppressAutoHyphens w:val="0"/>
        <w:spacing w:before="60" w:after="60"/>
        <w:contextualSpacing w:val="0"/>
        <w:rPr>
          <w:rFonts w:eastAsia="Gill Sans MT"/>
          <w:bCs/>
        </w:rPr>
      </w:pPr>
      <w:r w:rsidRPr="002364E7">
        <w:rPr>
          <w:rFonts w:eastAsia="Gill Sans MT"/>
          <w:bCs/>
        </w:rPr>
        <w:t>c</w:t>
      </w:r>
      <w:r w:rsidR="005924BC" w:rsidRPr="002364E7">
        <w:rPr>
          <w:rFonts w:eastAsia="Gill Sans MT"/>
          <w:bCs/>
        </w:rPr>
        <w:t>hampion best practice gran</w:t>
      </w:r>
      <w:r w:rsidR="00141E13">
        <w:rPr>
          <w:rFonts w:eastAsia="Gill Sans MT"/>
          <w:bCs/>
        </w:rPr>
        <w:t>t</w:t>
      </w:r>
      <w:r w:rsidR="005924BC" w:rsidRPr="002364E7">
        <w:rPr>
          <w:rFonts w:eastAsia="Gill Sans MT"/>
          <w:bCs/>
        </w:rPr>
        <w:t>s and funding management across Council.</w:t>
      </w:r>
    </w:p>
    <w:p w14:paraId="3670206C" w14:textId="77777777" w:rsidR="005924BC" w:rsidRPr="002364E7" w:rsidRDefault="005924BC" w:rsidP="005924BC">
      <w:pPr>
        <w:pStyle w:val="ListParagraph"/>
        <w:spacing w:before="60" w:after="60"/>
        <w:ind w:left="360"/>
        <w:rPr>
          <w:rFonts w:eastAsia="Gill Sans MT"/>
          <w:b/>
          <w:bCs/>
        </w:rPr>
      </w:pPr>
    </w:p>
    <w:p w14:paraId="0698905A" w14:textId="77777777" w:rsidR="005924BC" w:rsidRPr="002364E7" w:rsidRDefault="005924BC" w:rsidP="005924BC">
      <w:pPr>
        <w:pStyle w:val="ListParagraph"/>
        <w:numPr>
          <w:ilvl w:val="0"/>
          <w:numId w:val="13"/>
        </w:numPr>
        <w:tabs>
          <w:tab w:val="clear" w:pos="-3060"/>
          <w:tab w:val="clear" w:pos="-2340"/>
          <w:tab w:val="clear" w:pos="6300"/>
        </w:tabs>
        <w:suppressAutoHyphens w:val="0"/>
        <w:spacing w:before="60" w:after="60"/>
        <w:contextualSpacing w:val="0"/>
        <w:rPr>
          <w:rFonts w:eastAsia="Gill Sans MT"/>
          <w:b/>
          <w:bCs/>
        </w:rPr>
      </w:pPr>
      <w:r w:rsidRPr="002364E7">
        <w:rPr>
          <w:rFonts w:eastAsia="Gill Sans MT"/>
          <w:b/>
          <w:bCs/>
        </w:rPr>
        <w:t xml:space="preserve">Community </w:t>
      </w:r>
    </w:p>
    <w:p w14:paraId="25E67A41" w14:textId="77777777" w:rsidR="005924BC" w:rsidRPr="002364E7" w:rsidRDefault="005924BC" w:rsidP="005924BC">
      <w:pPr>
        <w:pStyle w:val="ListParagraph"/>
        <w:spacing w:before="60" w:after="60"/>
        <w:ind w:left="360"/>
        <w:rPr>
          <w:rFonts w:eastAsia="Gill Sans MT"/>
          <w:bCs/>
        </w:rPr>
      </w:pPr>
      <w:r w:rsidRPr="002364E7">
        <w:rPr>
          <w:rFonts w:eastAsia="Gill Sans MT"/>
          <w:bCs/>
        </w:rPr>
        <w:t>Demonstrate community leadership by:</w:t>
      </w:r>
    </w:p>
    <w:p w14:paraId="15ECD3E0" w14:textId="77777777" w:rsidR="005924BC" w:rsidRPr="002364E7" w:rsidRDefault="00A66E08" w:rsidP="005924BC">
      <w:pPr>
        <w:pStyle w:val="ListParagraph"/>
        <w:numPr>
          <w:ilvl w:val="0"/>
          <w:numId w:val="14"/>
        </w:numPr>
        <w:tabs>
          <w:tab w:val="clear" w:pos="-3060"/>
          <w:tab w:val="clear" w:pos="-2340"/>
          <w:tab w:val="clear" w:pos="6300"/>
        </w:tabs>
        <w:suppressAutoHyphens w:val="0"/>
        <w:spacing w:before="60" w:after="60"/>
        <w:contextualSpacing w:val="0"/>
        <w:rPr>
          <w:rFonts w:eastAsia="Gill Sans MT"/>
          <w:bCs/>
        </w:rPr>
      </w:pPr>
      <w:r w:rsidRPr="002364E7">
        <w:rPr>
          <w:rFonts w:eastAsia="Gill Sans MT"/>
          <w:bCs/>
        </w:rPr>
        <w:t>e</w:t>
      </w:r>
      <w:r w:rsidR="005924BC" w:rsidRPr="002364E7">
        <w:rPr>
          <w:rFonts w:eastAsia="Gill Sans MT"/>
          <w:bCs/>
        </w:rPr>
        <w:t>ngaging with their communities to develop proposals that encourage inclusion and creativity, celebrate the history of Port Phillip, protect its character and work with Council to plan for the future of a dynamic and evolving City</w:t>
      </w:r>
    </w:p>
    <w:p w14:paraId="3988FE0F" w14:textId="77777777" w:rsidR="005924BC" w:rsidRPr="002364E7" w:rsidRDefault="00A66E08" w:rsidP="005924BC">
      <w:pPr>
        <w:pStyle w:val="ListParagraph"/>
        <w:numPr>
          <w:ilvl w:val="0"/>
          <w:numId w:val="14"/>
        </w:numPr>
        <w:tabs>
          <w:tab w:val="clear" w:pos="-3060"/>
          <w:tab w:val="clear" w:pos="-2340"/>
          <w:tab w:val="clear" w:pos="6300"/>
        </w:tabs>
        <w:suppressAutoHyphens w:val="0"/>
        <w:spacing w:before="60" w:after="60"/>
        <w:contextualSpacing w:val="0"/>
        <w:rPr>
          <w:rFonts w:eastAsia="Gill Sans MT"/>
          <w:bCs/>
        </w:rPr>
      </w:pPr>
      <w:r w:rsidRPr="002364E7">
        <w:rPr>
          <w:rFonts w:eastAsia="Gill Sans MT"/>
          <w:bCs/>
        </w:rPr>
        <w:t>a</w:t>
      </w:r>
      <w:r w:rsidR="005924BC" w:rsidRPr="002364E7">
        <w:rPr>
          <w:rFonts w:eastAsia="Gill Sans MT"/>
          <w:bCs/>
        </w:rPr>
        <w:t>ctively engage with Council and read Council’s information packs, policies and plans, to ensure that their proposals align with the strategic objectives of the City of Port Phillip Council Plan 2017-27 and contain clear objectives, measurable outcomes and evidence of genuine partnership and collaboration.</w:t>
      </w:r>
    </w:p>
    <w:p w14:paraId="57875C71" w14:textId="77777777" w:rsidR="005924BC" w:rsidRPr="002364E7" w:rsidRDefault="005924BC" w:rsidP="005924BC">
      <w:pPr>
        <w:pStyle w:val="ListParagraph"/>
        <w:spacing w:before="60" w:after="60"/>
        <w:ind w:left="360"/>
        <w:rPr>
          <w:rFonts w:eastAsia="Gill Sans MT"/>
          <w:b/>
          <w:bCs/>
        </w:rPr>
      </w:pPr>
    </w:p>
    <w:p w14:paraId="7EF23077" w14:textId="77777777" w:rsidR="005924BC" w:rsidRPr="002364E7" w:rsidRDefault="005924BC" w:rsidP="005924BC">
      <w:pPr>
        <w:pStyle w:val="ListParagraph"/>
        <w:numPr>
          <w:ilvl w:val="0"/>
          <w:numId w:val="13"/>
        </w:numPr>
        <w:tabs>
          <w:tab w:val="clear" w:pos="-3060"/>
          <w:tab w:val="clear" w:pos="-2340"/>
          <w:tab w:val="clear" w:pos="6300"/>
        </w:tabs>
        <w:suppressAutoHyphens w:val="0"/>
        <w:spacing w:before="60" w:after="60"/>
        <w:contextualSpacing w:val="0"/>
        <w:rPr>
          <w:rFonts w:eastAsia="Gill Sans MT"/>
          <w:b/>
          <w:bCs/>
        </w:rPr>
      </w:pPr>
      <w:r w:rsidRPr="002364E7">
        <w:rPr>
          <w:rFonts w:eastAsia="Gill Sans MT"/>
          <w:b/>
          <w:bCs/>
        </w:rPr>
        <w:t xml:space="preserve">Council Funding and Grants </w:t>
      </w:r>
      <w:r w:rsidR="00A66E08" w:rsidRPr="002364E7">
        <w:rPr>
          <w:rFonts w:eastAsia="Gill Sans MT"/>
          <w:b/>
          <w:bCs/>
        </w:rPr>
        <w:t>Working Group</w:t>
      </w:r>
      <w:r w:rsidR="00E65C3E" w:rsidRPr="002364E7">
        <w:rPr>
          <w:rFonts w:eastAsia="Gill Sans MT"/>
          <w:b/>
          <w:bCs/>
        </w:rPr>
        <w:t xml:space="preserve"> (comprises funding and grant m</w:t>
      </w:r>
      <w:r w:rsidRPr="002364E7">
        <w:rPr>
          <w:rFonts w:eastAsia="Gill Sans MT"/>
          <w:b/>
          <w:bCs/>
        </w:rPr>
        <w:t>anagers)</w:t>
      </w:r>
    </w:p>
    <w:p w14:paraId="2C3A4822" w14:textId="77777777" w:rsidR="005924BC" w:rsidRPr="002364E7" w:rsidRDefault="005924BC" w:rsidP="005924BC">
      <w:pPr>
        <w:pStyle w:val="ListParagraph"/>
        <w:spacing w:before="60" w:after="60"/>
        <w:ind w:left="360"/>
        <w:rPr>
          <w:rFonts w:eastAsia="Gill Sans MT"/>
          <w:bCs/>
        </w:rPr>
      </w:pPr>
      <w:r w:rsidRPr="002364E7">
        <w:rPr>
          <w:rFonts w:eastAsia="Gill Sans MT"/>
          <w:bCs/>
        </w:rPr>
        <w:t>Demonstrate Council leadership by:</w:t>
      </w:r>
    </w:p>
    <w:p w14:paraId="52EE006A" w14:textId="77777777" w:rsidR="005924BC" w:rsidRPr="002364E7" w:rsidRDefault="00A66E08" w:rsidP="005924BC">
      <w:pPr>
        <w:pStyle w:val="ListParagraph"/>
        <w:numPr>
          <w:ilvl w:val="0"/>
          <w:numId w:val="14"/>
        </w:numPr>
        <w:tabs>
          <w:tab w:val="clear" w:pos="-3060"/>
          <w:tab w:val="clear" w:pos="-2340"/>
          <w:tab w:val="clear" w:pos="6300"/>
        </w:tabs>
        <w:suppressAutoHyphens w:val="0"/>
        <w:spacing w:before="60" w:after="60"/>
        <w:contextualSpacing w:val="0"/>
        <w:rPr>
          <w:rFonts w:eastAsia="Gill Sans MT"/>
          <w:bCs/>
        </w:rPr>
      </w:pPr>
      <w:r w:rsidRPr="002364E7">
        <w:rPr>
          <w:rFonts w:eastAsia="Gill Sans MT"/>
          <w:bCs/>
        </w:rPr>
        <w:t>a</w:t>
      </w:r>
      <w:r w:rsidR="005924BC" w:rsidRPr="002364E7">
        <w:rPr>
          <w:rFonts w:eastAsia="Gill Sans MT"/>
          <w:bCs/>
        </w:rPr>
        <w:t>cting as a specialist advisory group to review and make recommendations on issues that may arise in relation to the Community Funding Policy and related processes and procedures</w:t>
      </w:r>
    </w:p>
    <w:p w14:paraId="0F92C7F7" w14:textId="77777777" w:rsidR="005924BC" w:rsidRPr="002364E7" w:rsidRDefault="00A66E08" w:rsidP="005924BC">
      <w:pPr>
        <w:pStyle w:val="ListParagraph"/>
        <w:numPr>
          <w:ilvl w:val="0"/>
          <w:numId w:val="14"/>
        </w:numPr>
        <w:tabs>
          <w:tab w:val="clear" w:pos="-3060"/>
          <w:tab w:val="clear" w:pos="-2340"/>
          <w:tab w:val="clear" w:pos="6300"/>
        </w:tabs>
        <w:suppressAutoHyphens w:val="0"/>
        <w:spacing w:before="60" w:after="60"/>
        <w:contextualSpacing w:val="0"/>
        <w:rPr>
          <w:rFonts w:eastAsia="Gill Sans MT"/>
          <w:bCs/>
        </w:rPr>
      </w:pPr>
      <w:r w:rsidRPr="002364E7">
        <w:rPr>
          <w:rFonts w:eastAsia="Gill Sans MT"/>
          <w:bCs/>
        </w:rPr>
        <w:t>a</w:t>
      </w:r>
      <w:r w:rsidR="005924BC" w:rsidRPr="002364E7">
        <w:rPr>
          <w:rFonts w:eastAsia="Gill Sans MT"/>
          <w:bCs/>
        </w:rPr>
        <w:t>ctively modelling best practice funding and grants knowledge and processes</w:t>
      </w:r>
    </w:p>
    <w:p w14:paraId="0D0DFFF6" w14:textId="77777777" w:rsidR="005924BC" w:rsidRPr="00855EDA" w:rsidRDefault="00A66E08" w:rsidP="005924BC">
      <w:pPr>
        <w:pStyle w:val="ListParagraph"/>
        <w:numPr>
          <w:ilvl w:val="0"/>
          <w:numId w:val="14"/>
        </w:numPr>
        <w:tabs>
          <w:tab w:val="clear" w:pos="-3060"/>
          <w:tab w:val="clear" w:pos="-2340"/>
          <w:tab w:val="clear" w:pos="6300"/>
        </w:tabs>
        <w:suppressAutoHyphens w:val="0"/>
        <w:spacing w:before="60" w:after="60"/>
        <w:contextualSpacing w:val="0"/>
        <w:rPr>
          <w:rFonts w:ascii="Gill Sans MT" w:hAnsi="Gill Sans MT"/>
        </w:rPr>
      </w:pPr>
      <w:r w:rsidRPr="002364E7">
        <w:rPr>
          <w:rFonts w:eastAsia="Gill Sans MT"/>
          <w:bCs/>
        </w:rPr>
        <w:t>u</w:t>
      </w:r>
      <w:r w:rsidR="005924BC" w:rsidRPr="002364E7">
        <w:rPr>
          <w:rFonts w:eastAsia="Gill Sans MT"/>
          <w:bCs/>
        </w:rPr>
        <w:t>ndertaking a review of the Community Funding Policy and associated processes every 12 months.</w:t>
      </w:r>
      <w:r w:rsidR="005924BC">
        <w:rPr>
          <w:rFonts w:ascii="Gill Sans MT" w:hAnsi="Gill Sans MT"/>
        </w:rPr>
        <w:br w:type="page"/>
      </w:r>
    </w:p>
    <w:p w14:paraId="6D2140CE" w14:textId="77777777" w:rsidR="005924BC" w:rsidRDefault="00C552DF" w:rsidP="00334F83">
      <w:pPr>
        <w:pStyle w:val="Heading2"/>
      </w:pPr>
      <w:bookmarkStart w:id="26" w:name="_Toc16760199"/>
      <w:r>
        <w:lastRenderedPageBreak/>
        <w:t xml:space="preserve">Appendix </w:t>
      </w:r>
      <w:r w:rsidR="00855EDA">
        <w:t>D</w:t>
      </w:r>
      <w:bookmarkEnd w:id="26"/>
    </w:p>
    <w:p w14:paraId="2592280D" w14:textId="77777777" w:rsidR="002D504F" w:rsidRDefault="005924BC" w:rsidP="000A7348">
      <w:r w:rsidRPr="002364E7">
        <w:t>H</w:t>
      </w:r>
      <w:r w:rsidR="002364E7" w:rsidRPr="002364E7">
        <w:t>igh Level Funding Program Logic</w:t>
      </w:r>
    </w:p>
    <w:p w14:paraId="7DF111C4" w14:textId="3DA78CE2" w:rsidR="00F1755B" w:rsidRDefault="005924BC" w:rsidP="000A7348">
      <w:r>
        <w:rPr>
          <w:rFonts w:ascii="Gill Sans MT" w:hAnsi="Gill Sans MT"/>
        </w:rPr>
        <w:drawing>
          <wp:inline distT="0" distB="0" distL="0" distR="0" wp14:anchorId="42030C8B" wp14:editId="71D7803B">
            <wp:extent cx="6118860" cy="2219325"/>
            <wp:effectExtent l="1987867" t="0" r="2003108" b="0"/>
            <wp:docPr id="1" name="Picture 1" descr="High level projects objectives table.Inclusing resources, activities and outputs."/>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Content Placeholder 3"/>
                    <pic:cNvPicPr>
                      <a:picLocks noGrp="1"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6200000">
                      <a:off x="0" y="0"/>
                      <a:ext cx="6118860" cy="2219325"/>
                    </a:xfrm>
                    <a:prstGeom prst="rect">
                      <a:avLst/>
                    </a:prstGeom>
                    <a:noFill/>
                    <a:ln>
                      <a:noFill/>
                    </a:ln>
                    <a:scene3d>
                      <a:camera prst="orthographicFront">
                        <a:rot lat="0" lon="0" rev="16200000"/>
                      </a:camera>
                      <a:lightRig rig="threePt" dir="t"/>
                    </a:scene3d>
                  </pic:spPr>
                </pic:pic>
              </a:graphicData>
            </a:graphic>
          </wp:inline>
        </w:drawing>
      </w:r>
    </w:p>
    <w:sectPr w:rsidR="00F1755B" w:rsidSect="00E2401E">
      <w:headerReference w:type="even" r:id="rId14"/>
      <w:headerReference w:type="default" r:id="rId15"/>
      <w:footerReference w:type="even" r:id="rId16"/>
      <w:footerReference w:type="default" r:id="rId17"/>
      <w:headerReference w:type="first" r:id="rId18"/>
      <w:pgSz w:w="11906" w:h="16838"/>
      <w:pgMar w:top="1985"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41170" w14:textId="77777777" w:rsidR="00CE0321" w:rsidRDefault="00CE0321" w:rsidP="00257DF2">
      <w:r>
        <w:separator/>
      </w:r>
    </w:p>
  </w:endnote>
  <w:endnote w:type="continuationSeparator" w:id="0">
    <w:p w14:paraId="347DE3FC" w14:textId="77777777" w:rsidR="00CE0321" w:rsidRDefault="00CE0321" w:rsidP="00257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krobat Bold">
    <w:panose1 w:val="00000800000000000000"/>
    <w:charset w:val="00"/>
    <w:family w:val="modern"/>
    <w:notTrueType/>
    <w:pitch w:val="variable"/>
    <w:sig w:usb0="00000207" w:usb1="00000000" w:usb2="00000000" w:usb3="00000000" w:csb0="00000097"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 Pro">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887607099"/>
      <w:docPartObj>
        <w:docPartGallery w:val="Page Numbers (Bottom of Page)"/>
        <w:docPartUnique/>
      </w:docPartObj>
    </w:sdtPr>
    <w:sdtEndPr>
      <w:rPr>
        <w:noProof/>
        <w:sz w:val="20"/>
        <w:szCs w:val="20"/>
      </w:rPr>
    </w:sdtEndPr>
    <w:sdtContent>
      <w:p w14:paraId="29B3006D" w14:textId="3ED3E4B7" w:rsidR="0072078F" w:rsidRPr="007000A1" w:rsidRDefault="0072078F" w:rsidP="007000A1">
        <w:pPr>
          <w:pStyle w:val="Footer"/>
          <w:jc w:val="right"/>
          <w:rPr>
            <w:sz w:val="20"/>
            <w:szCs w:val="20"/>
          </w:rPr>
        </w:pPr>
        <w:r w:rsidRPr="007000A1">
          <w:rPr>
            <w:noProof w:val="0"/>
            <w:sz w:val="20"/>
            <w:szCs w:val="20"/>
          </w:rPr>
          <w:fldChar w:fldCharType="begin"/>
        </w:r>
        <w:r w:rsidRPr="007000A1">
          <w:rPr>
            <w:sz w:val="20"/>
            <w:szCs w:val="20"/>
          </w:rPr>
          <w:instrText xml:space="preserve"> PAGE   \* MERGEFORMAT </w:instrText>
        </w:r>
        <w:r w:rsidRPr="007000A1">
          <w:rPr>
            <w:noProof w:val="0"/>
            <w:sz w:val="20"/>
            <w:szCs w:val="20"/>
          </w:rPr>
          <w:fldChar w:fldCharType="separate"/>
        </w:r>
        <w:r w:rsidR="00447115">
          <w:rPr>
            <w:sz w:val="20"/>
            <w:szCs w:val="20"/>
          </w:rPr>
          <w:t>14</w:t>
        </w:r>
        <w:r w:rsidRPr="007000A1">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840032733"/>
      <w:docPartObj>
        <w:docPartGallery w:val="Page Numbers (Bottom of Page)"/>
        <w:docPartUnique/>
      </w:docPartObj>
    </w:sdtPr>
    <w:sdtEndPr>
      <w:rPr>
        <w:noProof/>
      </w:rPr>
    </w:sdtEndPr>
    <w:sdtContent>
      <w:p w14:paraId="2C0C2694" w14:textId="53CD8214" w:rsidR="0072078F" w:rsidRPr="007000A1" w:rsidRDefault="0072078F" w:rsidP="007000A1">
        <w:pPr>
          <w:pStyle w:val="Footer"/>
          <w:jc w:val="right"/>
        </w:pPr>
        <w:r>
          <w:rPr>
            <w:noProof w:val="0"/>
          </w:rPr>
          <w:fldChar w:fldCharType="begin"/>
        </w:r>
        <w:r>
          <w:instrText xml:space="preserve"> PAGE   \* MERGEFORMAT </w:instrText>
        </w:r>
        <w:r>
          <w:rPr>
            <w:noProof w:val="0"/>
          </w:rPr>
          <w:fldChar w:fldCharType="separate"/>
        </w:r>
        <w:r w:rsidR="00447115">
          <w:t>15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10C2F" w14:textId="77777777" w:rsidR="00CE0321" w:rsidRDefault="00CE0321" w:rsidP="00257DF2">
      <w:r>
        <w:separator/>
      </w:r>
    </w:p>
  </w:footnote>
  <w:footnote w:type="continuationSeparator" w:id="0">
    <w:p w14:paraId="70ED28EF" w14:textId="77777777" w:rsidR="00CE0321" w:rsidRDefault="00CE0321" w:rsidP="00257DF2">
      <w:r>
        <w:continuationSeparator/>
      </w:r>
    </w:p>
  </w:footnote>
  <w:footnote w:id="1">
    <w:p w14:paraId="55484C10" w14:textId="77777777" w:rsidR="0072078F" w:rsidRDefault="0072078F" w:rsidP="005924BC">
      <w:pPr>
        <w:pStyle w:val="FootnoteText"/>
        <w:rPr>
          <w:lang w:val="en-US"/>
        </w:rPr>
      </w:pPr>
      <w:r>
        <w:rPr>
          <w:rStyle w:val="FootnoteReference"/>
        </w:rPr>
        <w:footnoteRef/>
      </w:r>
      <w:r>
        <w:t xml:space="preserve"> </w:t>
      </w:r>
      <w:r>
        <w:rPr>
          <w:sz w:val="16"/>
          <w:szCs w:val="16"/>
          <w:lang w:val="en-US"/>
        </w:rPr>
        <w:t>The Victorian Local Government Association reference Best Practice in Local Government Community Grants Programs (2002)</w:t>
      </w:r>
    </w:p>
  </w:footnote>
  <w:footnote w:id="2">
    <w:p w14:paraId="519AE9BD" w14:textId="77777777" w:rsidR="0072078F" w:rsidRDefault="0072078F" w:rsidP="005924BC">
      <w:pPr>
        <w:pStyle w:val="FootnoteText"/>
        <w:rPr>
          <w:lang w:val="en-US"/>
        </w:rPr>
      </w:pPr>
      <w:r>
        <w:rPr>
          <w:rStyle w:val="FootnoteReference"/>
        </w:rPr>
        <w:footnoteRef/>
      </w:r>
      <w:r>
        <w:t xml:space="preserve"> </w:t>
      </w:r>
      <w:r>
        <w:rPr>
          <w:sz w:val="16"/>
          <w:szCs w:val="16"/>
          <w:lang w:val="en-US"/>
        </w:rPr>
        <w:t>The Victorian Local Government Association reference Best Practice in Local Government Community Grants Programs (2002)</w:t>
      </w:r>
    </w:p>
  </w:footnote>
  <w:footnote w:id="3">
    <w:p w14:paraId="3F05CF07" w14:textId="77777777" w:rsidR="0072078F" w:rsidRDefault="0072078F" w:rsidP="005924BC">
      <w:pPr>
        <w:pStyle w:val="FootnoteText"/>
        <w:rPr>
          <w:sz w:val="16"/>
          <w:szCs w:val="16"/>
        </w:rPr>
      </w:pPr>
      <w:r>
        <w:rPr>
          <w:rStyle w:val="FootnoteReference"/>
        </w:rPr>
        <w:footnoteRef/>
      </w:r>
      <w:r>
        <w:t xml:space="preserve"> </w:t>
      </w:r>
      <w:r>
        <w:rPr>
          <w:sz w:val="16"/>
          <w:szCs w:val="16"/>
        </w:rPr>
        <w:t>Australian Taxation Office, Business reports and returns, Government entities,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8DACE" w14:textId="77777777" w:rsidR="0072078F" w:rsidRPr="00E00AEE" w:rsidRDefault="0072078F">
    <w:pPr>
      <w:pStyle w:val="Header"/>
      <w:rPr>
        <w:vertAlign w:val="subscript"/>
      </w:rPr>
    </w:pPr>
    <w:r>
      <w:drawing>
        <wp:anchor distT="0" distB="0" distL="114300" distR="114300" simplePos="0" relativeHeight="251675648" behindDoc="1" locked="1" layoutInCell="1" allowOverlap="1" wp14:anchorId="4EBBB308" wp14:editId="0A18C9DE">
          <wp:simplePos x="0" y="0"/>
          <wp:positionH relativeFrom="page">
            <wp:posOffset>0</wp:posOffset>
          </wp:positionH>
          <wp:positionV relativeFrom="page">
            <wp:posOffset>0</wp:posOffset>
          </wp:positionV>
          <wp:extent cx="7559675" cy="718820"/>
          <wp:effectExtent l="0" t="0" r="3175" b="5080"/>
          <wp:wrapNone/>
          <wp:docPr id="20" name="Picture 2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PP_REPORT_0717.gif"/>
                  <pic:cNvPicPr/>
                </pic:nvPicPr>
                <pic:blipFill>
                  <a:blip r:embed="rId1">
                    <a:extLst>
                      <a:ext uri="{28A0092B-C50C-407E-A947-70E740481C1C}">
                        <a14:useLocalDpi xmlns:a14="http://schemas.microsoft.com/office/drawing/2010/main" val="0"/>
                      </a:ext>
                    </a:extLst>
                  </a:blip>
                  <a:stretch>
                    <a:fillRect/>
                  </a:stretch>
                </pic:blipFill>
                <pic:spPr>
                  <a:xfrm>
                    <a:off x="0" y="0"/>
                    <a:ext cx="7559675" cy="718820"/>
                  </a:xfrm>
                  <a:prstGeom prst="rect">
                    <a:avLst/>
                  </a:prstGeom>
                </pic:spPr>
              </pic:pic>
            </a:graphicData>
          </a:graphic>
          <wp14:sizeRelH relativeFrom="page">
            <wp14:pctWidth>0</wp14:pctWidth>
          </wp14:sizeRelH>
          <wp14:sizeRelV relativeFrom="page">
            <wp14:pctHeight>0</wp14:pctHeight>
          </wp14:sizeRelV>
        </wp:anchor>
      </w:drawing>
    </w:r>
    <w:r w:rsidRPr="00257DF2">
      <mc:AlternateContent>
        <mc:Choice Requires="wps">
          <w:drawing>
            <wp:anchor distT="45720" distB="45720" distL="114300" distR="114300" simplePos="0" relativeHeight="251662336" behindDoc="0" locked="1" layoutInCell="1" allowOverlap="1" wp14:anchorId="29AB1AC4" wp14:editId="74050D15">
              <wp:simplePos x="0" y="0"/>
              <wp:positionH relativeFrom="margin">
                <wp:align>left</wp:align>
              </wp:positionH>
              <wp:positionV relativeFrom="page">
                <wp:posOffset>272415</wp:posOffset>
              </wp:positionV>
              <wp:extent cx="3752850" cy="329565"/>
              <wp:effectExtent l="0" t="0" r="0" b="1333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29565"/>
                      </a:xfrm>
                      <a:prstGeom prst="rect">
                        <a:avLst/>
                      </a:prstGeom>
                      <a:noFill/>
                      <a:ln w="9525">
                        <a:noFill/>
                        <a:miter lim="800000"/>
                        <a:headEnd/>
                        <a:tailEnd/>
                      </a:ln>
                    </wps:spPr>
                    <wps:txbx>
                      <w:txbxContent>
                        <w:p w14:paraId="006DFD5F" w14:textId="77777777" w:rsidR="0072078F" w:rsidRPr="00E00AEE" w:rsidRDefault="0072078F" w:rsidP="009C64CB">
                          <w:pPr>
                            <w:pStyle w:val="BasicParagraph"/>
                            <w:suppressAutoHyphens/>
                            <w:rPr>
                              <w:rFonts w:ascii="Arial" w:hAnsi="Arial" w:cs="Arial"/>
                              <w:b/>
                              <w:bCs/>
                              <w:color w:val="FFFFFF" w:themeColor="background1"/>
                            </w:rPr>
                          </w:pPr>
                          <w:r w:rsidRPr="00E00AEE">
                            <w:rPr>
                              <w:rFonts w:ascii="Arial" w:hAnsi="Arial" w:cs="Arial"/>
                              <w:color w:val="FFFFFF" w:themeColor="background1"/>
                            </w:rPr>
                            <w:t xml:space="preserve">City of Port Phillip </w:t>
                          </w:r>
                          <w:r>
                            <w:rPr>
                              <w:rFonts w:ascii="Arial" w:hAnsi="Arial" w:cs="Arial"/>
                              <w:color w:val="FFFFFF" w:themeColor="background1"/>
                            </w:rPr>
                            <w:t>Community Funding Policy</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29AB1AC4" id="_x0000_t202" coordsize="21600,21600" o:spt="202" path="m,l,21600r21600,l21600,xe">
              <v:stroke joinstyle="miter"/>
              <v:path gradientshapeok="t" o:connecttype="rect"/>
            </v:shapetype>
            <v:shape id="Text Box 2" o:spid="_x0000_s1026" type="#_x0000_t202" style="position:absolute;margin-left:0;margin-top:21.45pt;width:295.5pt;height:25.9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" filled="f" stroked="f">
              <v:textbox inset="0,0,0,0">
                <w:txbxContent>
                  <w:p w14:paraId="006DFD5F" w14:textId="77777777" w:rsidR="0072078F" w:rsidRPr="00E00AEE" w:rsidRDefault="0072078F" w:rsidP="009C64CB">
                    <w:pPr>
                      <w:pStyle w:val="BasicParagraph"/>
                      <w:suppressAutoHyphens/>
                      <w:rPr>
                        <w:rFonts w:ascii="Arial" w:hAnsi="Arial" w:cs="Arial"/>
                        <w:b/>
                        <w:bCs/>
                        <w:color w:val="FFFFFF" w:themeColor="background1"/>
                      </w:rPr>
                    </w:pPr>
                    <w:r w:rsidRPr="00E00AEE">
                      <w:rPr>
                        <w:rFonts w:ascii="Arial" w:hAnsi="Arial" w:cs="Arial"/>
                        <w:color w:val="FFFFFF" w:themeColor="background1"/>
                      </w:rPr>
                      <w:t xml:space="preserve">City of Port Phillip </w:t>
                    </w:r>
                    <w:r>
                      <w:rPr>
                        <w:rFonts w:ascii="Arial" w:hAnsi="Arial" w:cs="Arial"/>
                        <w:color w:val="FFFFFF" w:themeColor="background1"/>
                      </w:rPr>
                      <w:t>Community Funding Policy</w:t>
                    </w:r>
                  </w:p>
                </w:txbxContent>
              </v:textbox>
              <w10:wrap anchorx="margin" anchory="page"/>
              <w10:anchorlock/>
            </v:shape>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A4423" w14:textId="77777777" w:rsidR="0072078F" w:rsidRDefault="0072078F">
    <w:pPr>
      <w:pStyle w:val="Header"/>
    </w:pPr>
    <w:r>
      <w:drawing>
        <wp:anchor distT="0" distB="0" distL="114300" distR="114300" simplePos="0" relativeHeight="251679744" behindDoc="1" locked="1" layoutInCell="1" allowOverlap="1" wp14:anchorId="15C9C6DD" wp14:editId="528BE1E1">
          <wp:simplePos x="0" y="0"/>
          <wp:positionH relativeFrom="page">
            <wp:posOffset>0</wp:posOffset>
          </wp:positionH>
          <wp:positionV relativeFrom="page">
            <wp:posOffset>0</wp:posOffset>
          </wp:positionV>
          <wp:extent cx="7559675" cy="718820"/>
          <wp:effectExtent l="0" t="0" r="3175" b="5080"/>
          <wp:wrapNone/>
          <wp:docPr id="21" name="Picture 2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PP_REPORT_0717-2.gif"/>
                  <pic:cNvPicPr/>
                </pic:nvPicPr>
                <pic:blipFill>
                  <a:blip r:embed="rId1">
                    <a:extLst>
                      <a:ext uri="{28A0092B-C50C-407E-A947-70E740481C1C}">
                        <a14:useLocalDpi xmlns:a14="http://schemas.microsoft.com/office/drawing/2010/main" val="0"/>
                      </a:ext>
                    </a:extLst>
                  </a:blip>
                  <a:stretch>
                    <a:fillRect/>
                  </a:stretch>
                </pic:blipFill>
                <pic:spPr>
                  <a:xfrm>
                    <a:off x="0" y="0"/>
                    <a:ext cx="7559675" cy="718820"/>
                  </a:xfrm>
                  <a:prstGeom prst="rect">
                    <a:avLst/>
                  </a:prstGeom>
                </pic:spPr>
              </pic:pic>
            </a:graphicData>
          </a:graphic>
          <wp14:sizeRelH relativeFrom="page">
            <wp14:pctWidth>0</wp14:pctWidth>
          </wp14:sizeRelH>
          <wp14:sizeRelV relativeFrom="page">
            <wp14:pctHeight>0</wp14:pctHeight>
          </wp14:sizeRelV>
        </wp:anchor>
      </w:drawing>
    </w:r>
    <w:r w:rsidRPr="009C64CB">
      <mc:AlternateContent>
        <mc:Choice Requires="wps">
          <w:drawing>
            <wp:anchor distT="45720" distB="45720" distL="114300" distR="114300" simplePos="0" relativeHeight="251670528" behindDoc="0" locked="1" layoutInCell="1" allowOverlap="1" wp14:anchorId="5A5D7D2F" wp14:editId="5B65535F">
              <wp:simplePos x="0" y="0"/>
              <wp:positionH relativeFrom="margin">
                <wp:align>left</wp:align>
              </wp:positionH>
              <wp:positionV relativeFrom="page">
                <wp:posOffset>276225</wp:posOffset>
              </wp:positionV>
              <wp:extent cx="3790950" cy="329565"/>
              <wp:effectExtent l="0" t="0" r="0" b="1333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329565"/>
                      </a:xfrm>
                      <a:prstGeom prst="rect">
                        <a:avLst/>
                      </a:prstGeom>
                      <a:noFill/>
                      <a:ln w="9525">
                        <a:noFill/>
                        <a:miter lim="800000"/>
                        <a:headEnd/>
                        <a:tailEnd/>
                      </a:ln>
                    </wps:spPr>
                    <wps:txbx>
                      <w:txbxContent>
                        <w:p w14:paraId="3E6E7F2B" w14:textId="77777777" w:rsidR="0072078F" w:rsidRPr="00E00AEE" w:rsidRDefault="0072078F" w:rsidP="009C64CB">
                          <w:pPr>
                            <w:pStyle w:val="BasicParagraph"/>
                            <w:suppressAutoHyphens/>
                            <w:rPr>
                              <w:rFonts w:ascii="Arial" w:hAnsi="Arial" w:cs="Arial"/>
                              <w:b/>
                              <w:bCs/>
                              <w:color w:val="FFFFFF" w:themeColor="background1"/>
                            </w:rPr>
                          </w:pPr>
                          <w:r w:rsidRPr="00E00AEE">
                            <w:rPr>
                              <w:rFonts w:ascii="Arial" w:hAnsi="Arial" w:cs="Arial"/>
                              <w:color w:val="FFFFFF" w:themeColor="background1"/>
                            </w:rPr>
                            <w:t xml:space="preserve">City of Port Phillip </w:t>
                          </w:r>
                          <w:r>
                            <w:rPr>
                              <w:rFonts w:ascii="Arial" w:hAnsi="Arial" w:cs="Arial"/>
                              <w:b/>
                              <w:bCs/>
                              <w:color w:val="FFFFFF" w:themeColor="background1"/>
                            </w:rPr>
                            <w:t>Community Funding Policy</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5A5D7D2F" id="_x0000_t202" coordsize="21600,21600" o:spt="202" path="m,l,21600r21600,l21600,xe">
              <v:stroke joinstyle="miter"/>
              <v:path gradientshapeok="t" o:connecttype="rect"/>
            </v:shapetype>
            <v:shape id="_x0000_s1027" type="#_x0000_t202" style="position:absolute;margin-left:0;margin-top:21.75pt;width:298.5pt;height:25.95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" filled="f" stroked="f">
              <v:textbox inset="0,0,0,0">
                <w:txbxContent>
                  <w:p w14:paraId="3E6E7F2B" w14:textId="77777777" w:rsidR="0072078F" w:rsidRPr="00E00AEE" w:rsidRDefault="0072078F" w:rsidP="009C64CB">
                    <w:pPr>
                      <w:pStyle w:val="BasicParagraph"/>
                      <w:suppressAutoHyphens/>
                      <w:rPr>
                        <w:rFonts w:ascii="Arial" w:hAnsi="Arial" w:cs="Arial"/>
                        <w:b/>
                        <w:bCs/>
                        <w:color w:val="FFFFFF" w:themeColor="background1"/>
                      </w:rPr>
                    </w:pPr>
                    <w:r w:rsidRPr="00E00AEE">
                      <w:rPr>
                        <w:rFonts w:ascii="Arial" w:hAnsi="Arial" w:cs="Arial"/>
                        <w:color w:val="FFFFFF" w:themeColor="background1"/>
                      </w:rPr>
                      <w:t xml:space="preserve">City of Port Phillip </w:t>
                    </w:r>
                    <w:r>
                      <w:rPr>
                        <w:rFonts w:ascii="Arial" w:hAnsi="Arial" w:cs="Arial"/>
                        <w:b/>
                        <w:bCs/>
                        <w:color w:val="FFFFFF" w:themeColor="background1"/>
                      </w:rPr>
                      <w:t>Community Funding Policy</w:t>
                    </w:r>
                  </w:p>
                </w:txbxContent>
              </v:textbox>
              <w10:wrap anchorx="margin"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09140" w14:textId="77777777" w:rsidR="0072078F" w:rsidRDefault="0072078F" w:rsidP="00A15DC8">
    <w:r>
      <w:drawing>
        <wp:anchor distT="0" distB="0" distL="114300" distR="114300" simplePos="0" relativeHeight="251673600" behindDoc="0" locked="1" layoutInCell="1" allowOverlap="1" wp14:anchorId="1E2CCB65" wp14:editId="1747AC88">
          <wp:simplePos x="0" y="0"/>
          <wp:positionH relativeFrom="page">
            <wp:posOffset>0</wp:posOffset>
          </wp:positionH>
          <wp:positionV relativeFrom="page">
            <wp:posOffset>0</wp:posOffset>
          </wp:positionV>
          <wp:extent cx="7560000" cy="10695600"/>
          <wp:effectExtent l="0" t="0" r="3175" b="0"/>
          <wp:wrapNone/>
          <wp:docPr id="23" name="Picture 2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P_INNER-METRO-SUS_REPORT_0817_PRINT.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0695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lvlText w:val="%1."/>
      <w:legacy w:legacy="1" w:legacySpace="0" w:legacyIndent="567"/>
      <w:lvlJc w:val="left"/>
      <w:pPr>
        <w:ind w:left="567" w:hanging="567"/>
      </w:pPr>
    </w:lvl>
    <w:lvl w:ilvl="1">
      <w:start w:val="1"/>
      <w:numFmt w:val="decimal"/>
      <w:lvlText w:val="%1.%2."/>
      <w:legacy w:legacy="1" w:legacySpace="0" w:legacyIndent="708"/>
      <w:lvlJc w:val="left"/>
      <w:pPr>
        <w:ind w:left="993" w:hanging="708"/>
      </w:pPr>
    </w:lvl>
    <w:lvl w:ilvl="2">
      <w:start w:val="1"/>
      <w:numFmt w:val="decimal"/>
      <w:lvlText w:val="%1.%2.%3."/>
      <w:legacy w:legacy="1" w:legacySpace="0" w:legacyIndent="708"/>
      <w:lvlJc w:val="left"/>
      <w:pPr>
        <w:ind w:left="1418" w:hanging="708"/>
      </w:pPr>
    </w:lvl>
    <w:lvl w:ilvl="3">
      <w:start w:val="1"/>
      <w:numFmt w:val="decimal"/>
      <w:lvlText w:val="%1.%2.%3.%4."/>
      <w:legacy w:legacy="1" w:legacySpace="0" w:legacyIndent="708"/>
      <w:lvlJc w:val="left"/>
      <w:pPr>
        <w:ind w:left="1843" w:hanging="708"/>
      </w:pPr>
    </w:lvl>
    <w:lvl w:ilvl="4">
      <w:start w:val="1"/>
      <w:numFmt w:val="decimal"/>
      <w:pStyle w:val="Heading5"/>
      <w:lvlText w:val="%1.%2.%3.%4.%5."/>
      <w:legacy w:legacy="1" w:legacySpace="0" w:legacyIndent="708"/>
      <w:lvlJc w:val="left"/>
      <w:pPr>
        <w:ind w:left="3399" w:hanging="708"/>
      </w:pPr>
    </w:lvl>
    <w:lvl w:ilvl="5">
      <w:start w:val="1"/>
      <w:numFmt w:val="decimal"/>
      <w:pStyle w:val="Heading6"/>
      <w:lvlText w:val="%1.%2.%3.%4.%5.%6."/>
      <w:legacy w:legacy="1" w:legacySpace="0" w:legacyIndent="708"/>
      <w:lvlJc w:val="left"/>
      <w:pPr>
        <w:ind w:left="4107" w:hanging="708"/>
      </w:pPr>
    </w:lvl>
    <w:lvl w:ilvl="6">
      <w:start w:val="1"/>
      <w:numFmt w:val="decimal"/>
      <w:pStyle w:val="Heading7"/>
      <w:lvlText w:val="%1.%2.%3.%4.%5.%6.%7."/>
      <w:legacy w:legacy="1" w:legacySpace="0" w:legacyIndent="708"/>
      <w:lvlJc w:val="left"/>
      <w:pPr>
        <w:ind w:left="4815" w:hanging="708"/>
      </w:pPr>
    </w:lvl>
    <w:lvl w:ilvl="7">
      <w:start w:val="1"/>
      <w:numFmt w:val="decimal"/>
      <w:pStyle w:val="Heading8"/>
      <w:lvlText w:val="%1.%2.%3.%4.%5.%6.%7.%8."/>
      <w:legacy w:legacy="1" w:legacySpace="0" w:legacyIndent="708"/>
      <w:lvlJc w:val="left"/>
      <w:pPr>
        <w:ind w:left="5523" w:hanging="708"/>
      </w:pPr>
    </w:lvl>
    <w:lvl w:ilvl="8">
      <w:start w:val="1"/>
      <w:numFmt w:val="decimal"/>
      <w:pStyle w:val="Heading9"/>
      <w:lvlText w:val="%1.%2.%3.%4.%5.%6.%7.%8.%9."/>
      <w:legacy w:legacy="1" w:legacySpace="0" w:legacyIndent="708"/>
      <w:lvlJc w:val="left"/>
      <w:pPr>
        <w:ind w:left="6231" w:hanging="708"/>
      </w:pPr>
    </w:lvl>
  </w:abstractNum>
  <w:abstractNum w:abstractNumId="1" w15:restartNumberingAfterBreak="0">
    <w:nsid w:val="0A8706D8"/>
    <w:multiLevelType w:val="multilevel"/>
    <w:tmpl w:val="A60EE2DA"/>
    <w:lvl w:ilvl="0">
      <w:start w:val="1"/>
      <w:numFmt w:val="decimal"/>
      <w:lvlText w:val="%1."/>
      <w:lvlJc w:val="left"/>
      <w:pPr>
        <w:ind w:left="360" w:hanging="360"/>
      </w:pPr>
    </w:lvl>
    <w:lvl w:ilvl="1">
      <w:start w:val="1"/>
      <w:numFmt w:val="decimal"/>
      <w:lvlText w:val="%1.%2."/>
      <w:lvlJc w:val="left"/>
      <w:pPr>
        <w:ind w:left="792" w:hanging="432"/>
      </w:pPr>
      <w:rPr>
        <w:rFonts w:ascii="Gill Sans MT" w:hAnsi="Gill Sans MT" w:cs="Arial" w:hint="default"/>
        <w:sz w:val="22"/>
        <w:szCs w:val="22"/>
      </w:rPr>
    </w:lvl>
    <w:lvl w:ilvl="2">
      <w:start w:val="1"/>
      <w:numFmt w:val="decimal"/>
      <w:lvlText w:val="%1.%2.%3."/>
      <w:lvlJc w:val="left"/>
      <w:pPr>
        <w:ind w:left="1224" w:hanging="504"/>
      </w:pPr>
    </w:lvl>
    <w:lvl w:ilvl="3">
      <w:start w:val="1"/>
      <w:numFmt w:val="lowerLetter"/>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B969C6"/>
    <w:multiLevelType w:val="hybridMultilevel"/>
    <w:tmpl w:val="45FA012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 w15:restartNumberingAfterBreak="0">
    <w:nsid w:val="0DBB6562"/>
    <w:multiLevelType w:val="hybridMultilevel"/>
    <w:tmpl w:val="210AEE32"/>
    <w:lvl w:ilvl="0" w:tplc="366C465C">
      <w:start w:val="1"/>
      <w:numFmt w:val="bullet"/>
      <w:pStyle w:val="NoSpacing"/>
      <w:lvlText w:val=""/>
      <w:lvlJc w:val="left"/>
      <w:pPr>
        <w:ind w:left="720" w:hanging="360"/>
      </w:pPr>
      <w:rPr>
        <w:rFonts w:ascii="Symbol" w:hAnsi="Symbol" w:hint="default"/>
        <w:b w:val="0"/>
        <w:i w:val="0"/>
        <w:color w:val="00B0F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DD3D6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A1728F"/>
    <w:multiLevelType w:val="multilevel"/>
    <w:tmpl w:val="83B42C2E"/>
    <w:styleLink w:val="Style1"/>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9D119FF"/>
    <w:multiLevelType w:val="hybridMultilevel"/>
    <w:tmpl w:val="1DA24258"/>
    <w:lvl w:ilvl="0" w:tplc="04090001">
      <w:start w:val="1"/>
      <w:numFmt w:val="bullet"/>
      <w:lvlText w:val=""/>
      <w:lvlJc w:val="left"/>
      <w:pPr>
        <w:ind w:left="785"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7" w15:restartNumberingAfterBreak="0">
    <w:nsid w:val="1B6F22BC"/>
    <w:multiLevelType w:val="hybridMultilevel"/>
    <w:tmpl w:val="7BAE5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CB66A0"/>
    <w:multiLevelType w:val="hybridMultilevel"/>
    <w:tmpl w:val="09FA307A"/>
    <w:lvl w:ilvl="0" w:tplc="0B66CE0C">
      <w:start w:val="1"/>
      <w:numFmt w:val="bullet"/>
      <w:pStyle w:val="Norm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DA12E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E0C2FF3"/>
    <w:multiLevelType w:val="hybridMultilevel"/>
    <w:tmpl w:val="8D905520"/>
    <w:lvl w:ilvl="0" w:tplc="6254BC1C">
      <w:start w:val="1"/>
      <w:numFmt w:val="bullet"/>
      <w:pStyle w:val="cef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FB62139"/>
    <w:multiLevelType w:val="hybridMultilevel"/>
    <w:tmpl w:val="69CE803E"/>
    <w:lvl w:ilvl="0" w:tplc="04090001">
      <w:start w:val="1"/>
      <w:numFmt w:val="bullet"/>
      <w:lvlText w:val=""/>
      <w:lvlJc w:val="left"/>
      <w:pPr>
        <w:ind w:left="1074" w:hanging="360"/>
      </w:pPr>
      <w:rPr>
        <w:rFonts w:ascii="Symbol" w:hAnsi="Symbol" w:hint="default"/>
      </w:rPr>
    </w:lvl>
    <w:lvl w:ilvl="1" w:tplc="04090003">
      <w:start w:val="1"/>
      <w:numFmt w:val="bullet"/>
      <w:lvlText w:val="o"/>
      <w:lvlJc w:val="left"/>
      <w:pPr>
        <w:ind w:left="1794" w:hanging="360"/>
      </w:pPr>
      <w:rPr>
        <w:rFonts w:ascii="Courier New" w:hAnsi="Courier New" w:cs="Courier New" w:hint="default"/>
      </w:rPr>
    </w:lvl>
    <w:lvl w:ilvl="2" w:tplc="04090005">
      <w:start w:val="1"/>
      <w:numFmt w:val="bullet"/>
      <w:lvlText w:val=""/>
      <w:lvlJc w:val="left"/>
      <w:pPr>
        <w:ind w:left="2514" w:hanging="360"/>
      </w:pPr>
      <w:rPr>
        <w:rFonts w:ascii="Wingdings" w:hAnsi="Wingdings" w:hint="default"/>
      </w:rPr>
    </w:lvl>
    <w:lvl w:ilvl="3" w:tplc="04090001">
      <w:start w:val="1"/>
      <w:numFmt w:val="bullet"/>
      <w:lvlText w:val=""/>
      <w:lvlJc w:val="left"/>
      <w:pPr>
        <w:ind w:left="3234" w:hanging="360"/>
      </w:pPr>
      <w:rPr>
        <w:rFonts w:ascii="Symbol" w:hAnsi="Symbol" w:hint="default"/>
      </w:rPr>
    </w:lvl>
    <w:lvl w:ilvl="4" w:tplc="04090003">
      <w:start w:val="1"/>
      <w:numFmt w:val="bullet"/>
      <w:lvlText w:val="o"/>
      <w:lvlJc w:val="left"/>
      <w:pPr>
        <w:ind w:left="3954" w:hanging="360"/>
      </w:pPr>
      <w:rPr>
        <w:rFonts w:ascii="Courier New" w:hAnsi="Courier New" w:cs="Courier New" w:hint="default"/>
      </w:rPr>
    </w:lvl>
    <w:lvl w:ilvl="5" w:tplc="04090005">
      <w:start w:val="1"/>
      <w:numFmt w:val="bullet"/>
      <w:lvlText w:val=""/>
      <w:lvlJc w:val="left"/>
      <w:pPr>
        <w:ind w:left="4674" w:hanging="360"/>
      </w:pPr>
      <w:rPr>
        <w:rFonts w:ascii="Wingdings" w:hAnsi="Wingdings" w:hint="default"/>
      </w:rPr>
    </w:lvl>
    <w:lvl w:ilvl="6" w:tplc="04090001">
      <w:start w:val="1"/>
      <w:numFmt w:val="bullet"/>
      <w:lvlText w:val=""/>
      <w:lvlJc w:val="left"/>
      <w:pPr>
        <w:ind w:left="5394" w:hanging="360"/>
      </w:pPr>
      <w:rPr>
        <w:rFonts w:ascii="Symbol" w:hAnsi="Symbol" w:hint="default"/>
      </w:rPr>
    </w:lvl>
    <w:lvl w:ilvl="7" w:tplc="04090003">
      <w:start w:val="1"/>
      <w:numFmt w:val="bullet"/>
      <w:lvlText w:val="o"/>
      <w:lvlJc w:val="left"/>
      <w:pPr>
        <w:ind w:left="6114" w:hanging="360"/>
      </w:pPr>
      <w:rPr>
        <w:rFonts w:ascii="Courier New" w:hAnsi="Courier New" w:cs="Courier New" w:hint="default"/>
      </w:rPr>
    </w:lvl>
    <w:lvl w:ilvl="8" w:tplc="04090005">
      <w:start w:val="1"/>
      <w:numFmt w:val="bullet"/>
      <w:lvlText w:val=""/>
      <w:lvlJc w:val="left"/>
      <w:pPr>
        <w:ind w:left="6834" w:hanging="360"/>
      </w:pPr>
      <w:rPr>
        <w:rFonts w:ascii="Wingdings" w:hAnsi="Wingdings" w:hint="default"/>
      </w:rPr>
    </w:lvl>
  </w:abstractNum>
  <w:abstractNum w:abstractNumId="12" w15:restartNumberingAfterBreak="0">
    <w:nsid w:val="339C28D6"/>
    <w:multiLevelType w:val="multilevel"/>
    <w:tmpl w:val="83B42C2E"/>
    <w:numStyleLink w:val="Style1"/>
  </w:abstractNum>
  <w:abstractNum w:abstractNumId="13" w15:restartNumberingAfterBreak="0">
    <w:nsid w:val="3EEA4937"/>
    <w:multiLevelType w:val="hybridMultilevel"/>
    <w:tmpl w:val="1F067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674B0B"/>
    <w:multiLevelType w:val="hybridMultilevel"/>
    <w:tmpl w:val="4C3AA0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4BFE0119"/>
    <w:multiLevelType w:val="multilevel"/>
    <w:tmpl w:val="0C09001D"/>
    <w:styleLink w:val="StyleHeading110ptGray-5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B980D59"/>
    <w:multiLevelType w:val="hybridMultilevel"/>
    <w:tmpl w:val="6F1CF9DC"/>
    <w:lvl w:ilvl="0" w:tplc="04090019">
      <w:start w:val="1"/>
      <w:numFmt w:val="lowerLetter"/>
      <w:lvlText w:val="%1."/>
      <w:lvlJc w:val="left"/>
      <w:pPr>
        <w:ind w:left="1531" w:hanging="360"/>
      </w:pPr>
    </w:lvl>
    <w:lvl w:ilvl="1" w:tplc="04090019">
      <w:start w:val="1"/>
      <w:numFmt w:val="lowerLetter"/>
      <w:lvlText w:val="%2."/>
      <w:lvlJc w:val="left"/>
      <w:pPr>
        <w:ind w:left="2251" w:hanging="360"/>
      </w:pPr>
    </w:lvl>
    <w:lvl w:ilvl="2" w:tplc="0409001B">
      <w:start w:val="1"/>
      <w:numFmt w:val="lowerRoman"/>
      <w:lvlText w:val="%3."/>
      <w:lvlJc w:val="right"/>
      <w:pPr>
        <w:ind w:left="2971" w:hanging="180"/>
      </w:pPr>
    </w:lvl>
    <w:lvl w:ilvl="3" w:tplc="0409000F">
      <w:start w:val="1"/>
      <w:numFmt w:val="decimal"/>
      <w:lvlText w:val="%4."/>
      <w:lvlJc w:val="left"/>
      <w:pPr>
        <w:ind w:left="3691" w:hanging="360"/>
      </w:pPr>
    </w:lvl>
    <w:lvl w:ilvl="4" w:tplc="04090019">
      <w:start w:val="1"/>
      <w:numFmt w:val="lowerLetter"/>
      <w:lvlText w:val="%5."/>
      <w:lvlJc w:val="left"/>
      <w:pPr>
        <w:ind w:left="4411" w:hanging="360"/>
      </w:pPr>
    </w:lvl>
    <w:lvl w:ilvl="5" w:tplc="0409001B">
      <w:start w:val="1"/>
      <w:numFmt w:val="lowerRoman"/>
      <w:lvlText w:val="%6."/>
      <w:lvlJc w:val="right"/>
      <w:pPr>
        <w:ind w:left="5131" w:hanging="180"/>
      </w:pPr>
    </w:lvl>
    <w:lvl w:ilvl="6" w:tplc="0409000F">
      <w:start w:val="1"/>
      <w:numFmt w:val="decimal"/>
      <w:lvlText w:val="%7."/>
      <w:lvlJc w:val="left"/>
      <w:pPr>
        <w:ind w:left="5851" w:hanging="360"/>
      </w:pPr>
    </w:lvl>
    <w:lvl w:ilvl="7" w:tplc="04090019">
      <w:start w:val="1"/>
      <w:numFmt w:val="lowerLetter"/>
      <w:lvlText w:val="%8."/>
      <w:lvlJc w:val="left"/>
      <w:pPr>
        <w:ind w:left="6571" w:hanging="360"/>
      </w:pPr>
    </w:lvl>
    <w:lvl w:ilvl="8" w:tplc="0409001B">
      <w:start w:val="1"/>
      <w:numFmt w:val="lowerRoman"/>
      <w:lvlText w:val="%9."/>
      <w:lvlJc w:val="right"/>
      <w:pPr>
        <w:ind w:left="7291" w:hanging="180"/>
      </w:pPr>
    </w:lvl>
  </w:abstractNum>
  <w:abstractNum w:abstractNumId="17" w15:restartNumberingAfterBreak="0">
    <w:nsid w:val="5FCC4E98"/>
    <w:multiLevelType w:val="hybridMultilevel"/>
    <w:tmpl w:val="CC3A7BA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15:restartNumberingAfterBreak="0">
    <w:nsid w:val="6C500C86"/>
    <w:multiLevelType w:val="multilevel"/>
    <w:tmpl w:val="83B42C2E"/>
    <w:numStyleLink w:val="Style1"/>
  </w:abstractNum>
  <w:abstractNum w:abstractNumId="19" w15:restartNumberingAfterBreak="0">
    <w:nsid w:val="6E8E0B82"/>
    <w:multiLevelType w:val="multilevel"/>
    <w:tmpl w:val="23A4A2AC"/>
    <w:lvl w:ilvl="0">
      <w:start w:val="1"/>
      <w:numFmt w:val="decimal"/>
      <w:pStyle w:val="Heading2"/>
      <w:lvlText w:val="%1."/>
      <w:lvlJc w:val="left"/>
      <w:pPr>
        <w:ind w:left="360" w:hanging="360"/>
      </w:pPr>
    </w:lvl>
    <w:lvl w:ilvl="1">
      <w:start w:val="1"/>
      <w:numFmt w:val="decimal"/>
      <w:isLgl/>
      <w:lvlText w:val="%1.%2"/>
      <w:lvlJc w:val="left"/>
      <w:pPr>
        <w:ind w:left="815" w:hanging="390"/>
      </w:pPr>
    </w:lvl>
    <w:lvl w:ilvl="2">
      <w:start w:val="1"/>
      <w:numFmt w:val="lowerLetter"/>
      <w:lvlText w:val="%3."/>
      <w:lvlJc w:val="left"/>
      <w:pPr>
        <w:ind w:left="1074" w:hanging="360"/>
      </w:pPr>
    </w:lvl>
    <w:lvl w:ilvl="3">
      <w:start w:val="1"/>
      <w:numFmt w:val="decimal"/>
      <w:isLgl/>
      <w:lvlText w:val="%1.%2.%3.%4"/>
      <w:lvlJc w:val="left"/>
      <w:pPr>
        <w:ind w:left="2151" w:hanging="1080"/>
      </w:pPr>
    </w:lvl>
    <w:lvl w:ilvl="4">
      <w:start w:val="1"/>
      <w:numFmt w:val="decimal"/>
      <w:isLgl/>
      <w:lvlText w:val="%1.%2.%3.%4.%5"/>
      <w:lvlJc w:val="left"/>
      <w:pPr>
        <w:ind w:left="2508" w:hanging="1080"/>
      </w:pPr>
    </w:lvl>
    <w:lvl w:ilvl="5">
      <w:start w:val="1"/>
      <w:numFmt w:val="decimal"/>
      <w:isLgl/>
      <w:lvlText w:val="%1.%2.%3.%4.%5.%6"/>
      <w:lvlJc w:val="left"/>
      <w:pPr>
        <w:ind w:left="3225" w:hanging="1440"/>
      </w:pPr>
    </w:lvl>
    <w:lvl w:ilvl="6">
      <w:start w:val="1"/>
      <w:numFmt w:val="decimal"/>
      <w:isLgl/>
      <w:lvlText w:val="%1.%2.%3.%4.%5.%6.%7"/>
      <w:lvlJc w:val="left"/>
      <w:pPr>
        <w:ind w:left="3582" w:hanging="1440"/>
      </w:pPr>
    </w:lvl>
    <w:lvl w:ilvl="7">
      <w:start w:val="1"/>
      <w:numFmt w:val="decimal"/>
      <w:isLgl/>
      <w:lvlText w:val="%1.%2.%3.%4.%5.%6.%7.%8"/>
      <w:lvlJc w:val="left"/>
      <w:pPr>
        <w:ind w:left="4299" w:hanging="1800"/>
      </w:pPr>
    </w:lvl>
    <w:lvl w:ilvl="8">
      <w:start w:val="1"/>
      <w:numFmt w:val="decimal"/>
      <w:isLgl/>
      <w:lvlText w:val="%1.%2.%3.%4.%5.%6.%7.%8.%9"/>
      <w:lvlJc w:val="left"/>
      <w:pPr>
        <w:ind w:left="4656" w:hanging="1800"/>
      </w:pPr>
    </w:lvl>
  </w:abstractNum>
  <w:num w:numId="1">
    <w:abstractNumId w:val="10"/>
  </w:num>
  <w:num w:numId="2">
    <w:abstractNumId w:val="0"/>
  </w:num>
  <w:num w:numId="3">
    <w:abstractNumId w:val="15"/>
  </w:num>
  <w:num w:numId="4">
    <w:abstractNumId w:val="3"/>
  </w:num>
  <w:num w:numId="5">
    <w:abstractNumId w:val="8"/>
  </w:num>
  <w:num w:numId="6">
    <w:abstractNumId w:val="19"/>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1"/>
  </w:num>
  <w:num w:numId="10">
    <w:abstractNumId w:val="2"/>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8"/>
  </w:num>
  <w:num w:numId="16">
    <w:abstractNumId w:val="5"/>
  </w:num>
  <w:num w:numId="17">
    <w:abstractNumId w:val="16"/>
  </w:num>
  <w:num w:numId="18">
    <w:abstractNumId w:val="4"/>
  </w:num>
  <w:num w:numId="19">
    <w:abstractNumId w:val="9"/>
  </w:num>
  <w:num w:numId="20">
    <w:abstractNumId w:val="12"/>
  </w:num>
  <w:num w:numId="21">
    <w:abstractNumId w:val="19"/>
  </w:num>
  <w:num w:numId="22">
    <w:abstractNumId w:val="19"/>
  </w:num>
  <w:num w:numId="23">
    <w:abstractNumId w:val="19"/>
  </w:num>
  <w:num w:numId="24">
    <w:abstractNumId w:val="19"/>
  </w:num>
  <w:num w:numId="25">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657"/>
    <w:rsid w:val="000065BE"/>
    <w:rsid w:val="0001381D"/>
    <w:rsid w:val="00015E18"/>
    <w:rsid w:val="0002707D"/>
    <w:rsid w:val="00035135"/>
    <w:rsid w:val="0004417A"/>
    <w:rsid w:val="00050FD6"/>
    <w:rsid w:val="00054536"/>
    <w:rsid w:val="00067770"/>
    <w:rsid w:val="00092F2E"/>
    <w:rsid w:val="00095316"/>
    <w:rsid w:val="000A43BE"/>
    <w:rsid w:val="000A7348"/>
    <w:rsid w:val="000A7991"/>
    <w:rsid w:val="000C2FF8"/>
    <w:rsid w:val="000C77F0"/>
    <w:rsid w:val="000E592D"/>
    <w:rsid w:val="000E6C6F"/>
    <w:rsid w:val="000F2FCB"/>
    <w:rsid w:val="00104AEA"/>
    <w:rsid w:val="00111D07"/>
    <w:rsid w:val="00116566"/>
    <w:rsid w:val="00141E13"/>
    <w:rsid w:val="0016603A"/>
    <w:rsid w:val="0017122A"/>
    <w:rsid w:val="00172CF5"/>
    <w:rsid w:val="0018506E"/>
    <w:rsid w:val="00185568"/>
    <w:rsid w:val="0019509C"/>
    <w:rsid w:val="001B5ABA"/>
    <w:rsid w:val="001C2A76"/>
    <w:rsid w:val="001C5443"/>
    <w:rsid w:val="001E0F66"/>
    <w:rsid w:val="001E49FB"/>
    <w:rsid w:val="00217B11"/>
    <w:rsid w:val="00220E6D"/>
    <w:rsid w:val="00225B2E"/>
    <w:rsid w:val="0022690D"/>
    <w:rsid w:val="002275D5"/>
    <w:rsid w:val="0023264A"/>
    <w:rsid w:val="002364E7"/>
    <w:rsid w:val="00236741"/>
    <w:rsid w:val="00243370"/>
    <w:rsid w:val="002567F4"/>
    <w:rsid w:val="0025690B"/>
    <w:rsid w:val="00257DF2"/>
    <w:rsid w:val="00264AC9"/>
    <w:rsid w:val="0026750B"/>
    <w:rsid w:val="00270097"/>
    <w:rsid w:val="00271196"/>
    <w:rsid w:val="00272496"/>
    <w:rsid w:val="00284161"/>
    <w:rsid w:val="0029558D"/>
    <w:rsid w:val="002B0061"/>
    <w:rsid w:val="002B58B8"/>
    <w:rsid w:val="002C2500"/>
    <w:rsid w:val="002D504F"/>
    <w:rsid w:val="002F7498"/>
    <w:rsid w:val="003038E2"/>
    <w:rsid w:val="00304FD0"/>
    <w:rsid w:val="0031723F"/>
    <w:rsid w:val="00334F83"/>
    <w:rsid w:val="00342209"/>
    <w:rsid w:val="00342954"/>
    <w:rsid w:val="00344F41"/>
    <w:rsid w:val="00351F7C"/>
    <w:rsid w:val="003620FB"/>
    <w:rsid w:val="00373EB6"/>
    <w:rsid w:val="0038267D"/>
    <w:rsid w:val="00397553"/>
    <w:rsid w:val="003D2CEC"/>
    <w:rsid w:val="003D3B15"/>
    <w:rsid w:val="003F0EE4"/>
    <w:rsid w:val="003F0FCA"/>
    <w:rsid w:val="003F1FDE"/>
    <w:rsid w:val="003F4F1E"/>
    <w:rsid w:val="003F6072"/>
    <w:rsid w:val="0042311E"/>
    <w:rsid w:val="00444C0E"/>
    <w:rsid w:val="00447115"/>
    <w:rsid w:val="004501C8"/>
    <w:rsid w:val="00472D78"/>
    <w:rsid w:val="00495072"/>
    <w:rsid w:val="00495D21"/>
    <w:rsid w:val="004B0E26"/>
    <w:rsid w:val="004B72B2"/>
    <w:rsid w:val="004C54F7"/>
    <w:rsid w:val="004D25B3"/>
    <w:rsid w:val="004D3AA9"/>
    <w:rsid w:val="004D5825"/>
    <w:rsid w:val="004E0282"/>
    <w:rsid w:val="005036FB"/>
    <w:rsid w:val="00504958"/>
    <w:rsid w:val="00514C13"/>
    <w:rsid w:val="00516686"/>
    <w:rsid w:val="00532BA3"/>
    <w:rsid w:val="00544371"/>
    <w:rsid w:val="005445FB"/>
    <w:rsid w:val="00550E66"/>
    <w:rsid w:val="00566397"/>
    <w:rsid w:val="005924BC"/>
    <w:rsid w:val="005A6FDD"/>
    <w:rsid w:val="005B2EBB"/>
    <w:rsid w:val="005D1A27"/>
    <w:rsid w:val="005D59A1"/>
    <w:rsid w:val="0060478E"/>
    <w:rsid w:val="0062624F"/>
    <w:rsid w:val="00636814"/>
    <w:rsid w:val="00641646"/>
    <w:rsid w:val="00644185"/>
    <w:rsid w:val="0065061E"/>
    <w:rsid w:val="00673C70"/>
    <w:rsid w:val="00681118"/>
    <w:rsid w:val="006B36EE"/>
    <w:rsid w:val="006B7D4A"/>
    <w:rsid w:val="006D1B97"/>
    <w:rsid w:val="006D3396"/>
    <w:rsid w:val="006D3F49"/>
    <w:rsid w:val="006D6905"/>
    <w:rsid w:val="006E2E9B"/>
    <w:rsid w:val="006E3896"/>
    <w:rsid w:val="006E6F0E"/>
    <w:rsid w:val="006F35F2"/>
    <w:rsid w:val="007000A1"/>
    <w:rsid w:val="0071014D"/>
    <w:rsid w:val="0072078F"/>
    <w:rsid w:val="00720A6C"/>
    <w:rsid w:val="00730D8B"/>
    <w:rsid w:val="007377C9"/>
    <w:rsid w:val="00741E1F"/>
    <w:rsid w:val="00753A10"/>
    <w:rsid w:val="00754231"/>
    <w:rsid w:val="00760975"/>
    <w:rsid w:val="00797723"/>
    <w:rsid w:val="007B3F03"/>
    <w:rsid w:val="007C4497"/>
    <w:rsid w:val="007C6D92"/>
    <w:rsid w:val="007D72D9"/>
    <w:rsid w:val="007E07BB"/>
    <w:rsid w:val="007E12F2"/>
    <w:rsid w:val="007E5C07"/>
    <w:rsid w:val="007F0854"/>
    <w:rsid w:val="008019B6"/>
    <w:rsid w:val="0081635D"/>
    <w:rsid w:val="00854858"/>
    <w:rsid w:val="00855EDA"/>
    <w:rsid w:val="008614F3"/>
    <w:rsid w:val="00865547"/>
    <w:rsid w:val="00871225"/>
    <w:rsid w:val="008827CF"/>
    <w:rsid w:val="00886B3B"/>
    <w:rsid w:val="00892052"/>
    <w:rsid w:val="00896E06"/>
    <w:rsid w:val="008A10FE"/>
    <w:rsid w:val="008A6C8A"/>
    <w:rsid w:val="008D3D37"/>
    <w:rsid w:val="008E5843"/>
    <w:rsid w:val="008F41F0"/>
    <w:rsid w:val="009240F2"/>
    <w:rsid w:val="00932B72"/>
    <w:rsid w:val="0095067A"/>
    <w:rsid w:val="00972B8F"/>
    <w:rsid w:val="00975C82"/>
    <w:rsid w:val="00982528"/>
    <w:rsid w:val="00986A31"/>
    <w:rsid w:val="00996386"/>
    <w:rsid w:val="009A0C7B"/>
    <w:rsid w:val="009A1EFE"/>
    <w:rsid w:val="009A61FE"/>
    <w:rsid w:val="009B7326"/>
    <w:rsid w:val="009C3CA0"/>
    <w:rsid w:val="009C59DC"/>
    <w:rsid w:val="009C64CB"/>
    <w:rsid w:val="009F00A3"/>
    <w:rsid w:val="009F143F"/>
    <w:rsid w:val="00A11A39"/>
    <w:rsid w:val="00A15DC8"/>
    <w:rsid w:val="00A221D5"/>
    <w:rsid w:val="00A362EB"/>
    <w:rsid w:val="00A36A57"/>
    <w:rsid w:val="00A36DCF"/>
    <w:rsid w:val="00A43F7D"/>
    <w:rsid w:val="00A51317"/>
    <w:rsid w:val="00A60D51"/>
    <w:rsid w:val="00A66E08"/>
    <w:rsid w:val="00A72511"/>
    <w:rsid w:val="00A75267"/>
    <w:rsid w:val="00A80691"/>
    <w:rsid w:val="00AB2787"/>
    <w:rsid w:val="00AB4632"/>
    <w:rsid w:val="00AC1521"/>
    <w:rsid w:val="00AD102A"/>
    <w:rsid w:val="00AD1EAF"/>
    <w:rsid w:val="00AD569C"/>
    <w:rsid w:val="00B01D0B"/>
    <w:rsid w:val="00B2672D"/>
    <w:rsid w:val="00B366BB"/>
    <w:rsid w:val="00B4648F"/>
    <w:rsid w:val="00B62322"/>
    <w:rsid w:val="00B82918"/>
    <w:rsid w:val="00BA3E49"/>
    <w:rsid w:val="00BB0B9B"/>
    <w:rsid w:val="00BC1622"/>
    <w:rsid w:val="00BD376F"/>
    <w:rsid w:val="00BD74B7"/>
    <w:rsid w:val="00C32473"/>
    <w:rsid w:val="00C43124"/>
    <w:rsid w:val="00C552DF"/>
    <w:rsid w:val="00C6700E"/>
    <w:rsid w:val="00C71D6E"/>
    <w:rsid w:val="00C7365B"/>
    <w:rsid w:val="00C74C4D"/>
    <w:rsid w:val="00C94CB3"/>
    <w:rsid w:val="00C95AEB"/>
    <w:rsid w:val="00C95F79"/>
    <w:rsid w:val="00C97C77"/>
    <w:rsid w:val="00CA3F76"/>
    <w:rsid w:val="00CB303C"/>
    <w:rsid w:val="00CC1E06"/>
    <w:rsid w:val="00CC528D"/>
    <w:rsid w:val="00CD4953"/>
    <w:rsid w:val="00CE0321"/>
    <w:rsid w:val="00CE5D54"/>
    <w:rsid w:val="00CF0BD5"/>
    <w:rsid w:val="00CF39A5"/>
    <w:rsid w:val="00D134B2"/>
    <w:rsid w:val="00D13EC6"/>
    <w:rsid w:val="00D5421E"/>
    <w:rsid w:val="00D54C2D"/>
    <w:rsid w:val="00D55960"/>
    <w:rsid w:val="00D55AF0"/>
    <w:rsid w:val="00D60E63"/>
    <w:rsid w:val="00D674D2"/>
    <w:rsid w:val="00D8602D"/>
    <w:rsid w:val="00D879D2"/>
    <w:rsid w:val="00DA1E0B"/>
    <w:rsid w:val="00DA44EC"/>
    <w:rsid w:val="00DA6DED"/>
    <w:rsid w:val="00DC3F14"/>
    <w:rsid w:val="00DC75EB"/>
    <w:rsid w:val="00DD1FD7"/>
    <w:rsid w:val="00DF3B35"/>
    <w:rsid w:val="00DF7BC4"/>
    <w:rsid w:val="00E00AEE"/>
    <w:rsid w:val="00E046EF"/>
    <w:rsid w:val="00E1386C"/>
    <w:rsid w:val="00E227BF"/>
    <w:rsid w:val="00E239B0"/>
    <w:rsid w:val="00E2401E"/>
    <w:rsid w:val="00E24289"/>
    <w:rsid w:val="00E541D8"/>
    <w:rsid w:val="00E65C3E"/>
    <w:rsid w:val="00E67E99"/>
    <w:rsid w:val="00E71FA1"/>
    <w:rsid w:val="00E721C9"/>
    <w:rsid w:val="00E746B2"/>
    <w:rsid w:val="00E75207"/>
    <w:rsid w:val="00E96712"/>
    <w:rsid w:val="00EA5AC3"/>
    <w:rsid w:val="00EA6CAC"/>
    <w:rsid w:val="00EB4AF8"/>
    <w:rsid w:val="00EB5841"/>
    <w:rsid w:val="00EC021A"/>
    <w:rsid w:val="00ED236F"/>
    <w:rsid w:val="00ED3929"/>
    <w:rsid w:val="00EE4DB3"/>
    <w:rsid w:val="00F015D6"/>
    <w:rsid w:val="00F02814"/>
    <w:rsid w:val="00F12FFE"/>
    <w:rsid w:val="00F13657"/>
    <w:rsid w:val="00F13BE2"/>
    <w:rsid w:val="00F1755B"/>
    <w:rsid w:val="00F24AA7"/>
    <w:rsid w:val="00F26984"/>
    <w:rsid w:val="00F3454C"/>
    <w:rsid w:val="00F47657"/>
    <w:rsid w:val="00F65372"/>
    <w:rsid w:val="00F76E65"/>
    <w:rsid w:val="00F811AA"/>
    <w:rsid w:val="00F857AA"/>
    <w:rsid w:val="00FC43AE"/>
    <w:rsid w:val="00FC5062"/>
    <w:rsid w:val="00FD236E"/>
    <w:rsid w:val="00FD794E"/>
    <w:rsid w:val="00FE4FE0"/>
    <w:rsid w:val="00FF57F0"/>
    <w:rsid w:val="00FF6BD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521A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746B2"/>
    <w:pPr>
      <w:tabs>
        <w:tab w:val="left" w:pos="-3060"/>
        <w:tab w:val="left" w:pos="-2340"/>
        <w:tab w:val="left" w:pos="6300"/>
      </w:tabs>
      <w:suppressAutoHyphens/>
      <w:spacing w:after="120" w:line="240" w:lineRule="auto"/>
    </w:pPr>
    <w:rPr>
      <w:rFonts w:ascii="Arial" w:eastAsia="Times New Roman" w:hAnsi="Arial" w:cs="Arial"/>
      <w:noProof/>
      <w:color w:val="000000" w:themeColor="text1"/>
      <w:lang w:eastAsia="en-AU"/>
    </w:rPr>
  </w:style>
  <w:style w:type="paragraph" w:styleId="Heading1">
    <w:name w:val="heading 1"/>
    <w:basedOn w:val="Heading11"/>
    <w:next w:val="Normal"/>
    <w:link w:val="Heading1Char"/>
    <w:autoRedefine/>
    <w:qFormat/>
    <w:rsid w:val="00E1386C"/>
    <w:rPr>
      <w:b/>
      <w:color w:val="196BAC"/>
      <w:sz w:val="72"/>
      <w:szCs w:val="72"/>
    </w:rPr>
  </w:style>
  <w:style w:type="paragraph" w:styleId="Heading2">
    <w:name w:val="heading 2"/>
    <w:basedOn w:val="Heading21"/>
    <w:next w:val="Normal"/>
    <w:link w:val="Heading2Char"/>
    <w:autoRedefine/>
    <w:uiPriority w:val="9"/>
    <w:qFormat/>
    <w:rsid w:val="006F35F2"/>
    <w:pPr>
      <w:keepNext/>
      <w:keepLines/>
      <w:numPr>
        <w:numId w:val="6"/>
      </w:numPr>
      <w:spacing w:before="120" w:after="240"/>
      <w:outlineLvl w:val="1"/>
    </w:pPr>
    <w:rPr>
      <w:color w:val="164364"/>
      <w:sz w:val="44"/>
      <w:szCs w:val="44"/>
      <w:lang w:val="en-US"/>
    </w:rPr>
  </w:style>
  <w:style w:type="paragraph" w:styleId="Heading3">
    <w:name w:val="heading 3"/>
    <w:basedOn w:val="Heading31"/>
    <w:next w:val="Normal"/>
    <w:link w:val="Heading3Char"/>
    <w:autoRedefine/>
    <w:qFormat/>
    <w:rsid w:val="00D54C2D"/>
    <w:pPr>
      <w:tabs>
        <w:tab w:val="left" w:pos="1418"/>
      </w:tabs>
      <w:spacing w:before="360"/>
      <w:outlineLvl w:val="2"/>
    </w:pPr>
    <w:rPr>
      <w:bCs/>
      <w:color w:val="958A7A"/>
      <w:sz w:val="24"/>
      <w:szCs w:val="24"/>
      <w:lang w:val="en-US"/>
      <w14:textFill>
        <w14:solidFill>
          <w14:srgbClr w14:val="958A7A">
            <w14:lumMod w14:val="65000"/>
          </w14:srgbClr>
        </w14:solidFill>
      </w14:textFill>
    </w:rPr>
  </w:style>
  <w:style w:type="paragraph" w:styleId="Heading4">
    <w:name w:val="heading 4"/>
    <w:basedOn w:val="Normal"/>
    <w:next w:val="Normal"/>
    <w:link w:val="Heading4Char"/>
    <w:qFormat/>
    <w:rsid w:val="00DC75EB"/>
    <w:pPr>
      <w:spacing w:before="120" w:after="60"/>
      <w:outlineLvl w:val="3"/>
    </w:pPr>
    <w:rPr>
      <w:b/>
    </w:rPr>
  </w:style>
  <w:style w:type="paragraph" w:styleId="Heading5">
    <w:name w:val="heading 5"/>
    <w:basedOn w:val="Normal"/>
    <w:next w:val="Normal"/>
    <w:link w:val="Heading5Char"/>
    <w:rsid w:val="00D60E63"/>
    <w:pPr>
      <w:numPr>
        <w:ilvl w:val="4"/>
        <w:numId w:val="2"/>
      </w:numPr>
      <w:spacing w:before="240" w:after="60"/>
      <w:outlineLvl w:val="4"/>
    </w:pPr>
    <w:rPr>
      <w:szCs w:val="20"/>
    </w:rPr>
  </w:style>
  <w:style w:type="paragraph" w:styleId="Heading6">
    <w:name w:val="heading 6"/>
    <w:basedOn w:val="Normal"/>
    <w:next w:val="Normal"/>
    <w:link w:val="Heading6Char"/>
    <w:rsid w:val="00D60E63"/>
    <w:pPr>
      <w:numPr>
        <w:ilvl w:val="5"/>
        <w:numId w:val="2"/>
      </w:numPr>
      <w:spacing w:before="240" w:after="60"/>
      <w:outlineLvl w:val="5"/>
    </w:pPr>
    <w:rPr>
      <w:i/>
      <w:szCs w:val="20"/>
    </w:rPr>
  </w:style>
  <w:style w:type="paragraph" w:styleId="Heading7">
    <w:name w:val="heading 7"/>
    <w:basedOn w:val="Normal"/>
    <w:next w:val="Normal"/>
    <w:link w:val="Heading7Char"/>
    <w:rsid w:val="00D60E63"/>
    <w:pPr>
      <w:numPr>
        <w:ilvl w:val="6"/>
        <w:numId w:val="2"/>
      </w:numPr>
      <w:spacing w:before="240" w:after="60"/>
      <w:outlineLvl w:val="6"/>
    </w:pPr>
    <w:rPr>
      <w:sz w:val="20"/>
      <w:szCs w:val="20"/>
    </w:rPr>
  </w:style>
  <w:style w:type="paragraph" w:styleId="Heading8">
    <w:name w:val="heading 8"/>
    <w:basedOn w:val="Normal"/>
    <w:next w:val="Normal"/>
    <w:link w:val="Heading8Char"/>
    <w:rsid w:val="00D60E63"/>
    <w:pPr>
      <w:numPr>
        <w:ilvl w:val="7"/>
        <w:numId w:val="2"/>
      </w:numPr>
      <w:spacing w:before="240" w:after="60"/>
      <w:outlineLvl w:val="7"/>
    </w:pPr>
    <w:rPr>
      <w:i/>
      <w:sz w:val="20"/>
      <w:szCs w:val="20"/>
    </w:rPr>
  </w:style>
  <w:style w:type="paragraph" w:styleId="Heading9">
    <w:name w:val="heading 9"/>
    <w:basedOn w:val="Normal"/>
    <w:next w:val="Normal"/>
    <w:link w:val="Heading9Char"/>
    <w:rsid w:val="00D60E63"/>
    <w:pPr>
      <w:numPr>
        <w:ilvl w:val="8"/>
        <w:numId w:val="2"/>
      </w:numPr>
      <w:spacing w:before="240" w:after="60"/>
      <w:outlineLvl w:val="8"/>
    </w:pPr>
    <w:rPr>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fheading2">
    <w:name w:val="cef heading 2"/>
    <w:link w:val="cefheading2Char"/>
    <w:autoRedefine/>
    <w:rsid w:val="00257DF2"/>
    <w:pPr>
      <w:spacing w:before="240" w:line="240" w:lineRule="auto"/>
    </w:pPr>
    <w:rPr>
      <w:rFonts w:ascii="Akrobat Bold" w:eastAsia="Times New Roman" w:hAnsi="Akrobat Bold" w:cs="Arial"/>
      <w:bCs/>
      <w:color w:val="0090A3"/>
      <w:kern w:val="32"/>
      <w:sz w:val="40"/>
      <w:lang w:eastAsia="en-AU"/>
    </w:rPr>
  </w:style>
  <w:style w:type="paragraph" w:customStyle="1" w:styleId="cefheading3">
    <w:name w:val="cef heading 3"/>
    <w:link w:val="cefheading3Char"/>
    <w:autoRedefine/>
    <w:rsid w:val="00257DF2"/>
    <w:pPr>
      <w:spacing w:after="120" w:line="240" w:lineRule="auto"/>
    </w:pPr>
    <w:rPr>
      <w:rFonts w:ascii="Arial" w:eastAsia="Times New Roman" w:hAnsi="Arial" w:cs="Arial"/>
      <w:b/>
      <w:bCs/>
      <w:kern w:val="32"/>
      <w:sz w:val="28"/>
      <w:szCs w:val="32"/>
      <w:lang w:eastAsia="en-AU"/>
    </w:rPr>
  </w:style>
  <w:style w:type="character" w:customStyle="1" w:styleId="cefheading3Char">
    <w:name w:val="cef heading 3 Char"/>
    <w:link w:val="cefheading3"/>
    <w:rsid w:val="00257DF2"/>
    <w:rPr>
      <w:rFonts w:ascii="Arial" w:eastAsia="Times New Roman" w:hAnsi="Arial" w:cs="Arial"/>
      <w:b/>
      <w:bCs/>
      <w:kern w:val="32"/>
      <w:sz w:val="28"/>
      <w:szCs w:val="32"/>
      <w:lang w:eastAsia="en-AU"/>
    </w:rPr>
  </w:style>
  <w:style w:type="paragraph" w:customStyle="1" w:styleId="cefbullet">
    <w:name w:val="cef  bullet"/>
    <w:basedOn w:val="Normal"/>
    <w:link w:val="cefbulletChar"/>
    <w:autoRedefine/>
    <w:rsid w:val="00F47657"/>
    <w:pPr>
      <w:numPr>
        <w:numId w:val="1"/>
      </w:numPr>
      <w:spacing w:before="40" w:after="80"/>
    </w:pPr>
    <w:rPr>
      <w:rFonts w:ascii="Century Gothic" w:hAnsi="Century Gothic"/>
    </w:rPr>
  </w:style>
  <w:style w:type="paragraph" w:styleId="Header">
    <w:name w:val="header"/>
    <w:basedOn w:val="Normal"/>
    <w:link w:val="HeaderChar"/>
    <w:uiPriority w:val="99"/>
    <w:rsid w:val="00F47657"/>
    <w:pPr>
      <w:tabs>
        <w:tab w:val="center" w:pos="4153"/>
        <w:tab w:val="right" w:pos="8306"/>
      </w:tabs>
    </w:pPr>
  </w:style>
  <w:style w:type="character" w:customStyle="1" w:styleId="HeaderChar">
    <w:name w:val="Header Char"/>
    <w:basedOn w:val="DefaultParagraphFont"/>
    <w:link w:val="Header"/>
    <w:uiPriority w:val="99"/>
    <w:rsid w:val="00F47657"/>
    <w:rPr>
      <w:rFonts w:ascii="Times New Roman" w:eastAsia="Times New Roman" w:hAnsi="Times New Roman" w:cs="Times New Roman"/>
      <w:sz w:val="24"/>
      <w:szCs w:val="24"/>
      <w:lang w:eastAsia="en-AU"/>
    </w:rPr>
  </w:style>
  <w:style w:type="paragraph" w:styleId="Footer">
    <w:name w:val="footer"/>
    <w:basedOn w:val="Normal"/>
    <w:link w:val="FooterChar"/>
    <w:uiPriority w:val="99"/>
    <w:rsid w:val="00F47657"/>
    <w:pPr>
      <w:tabs>
        <w:tab w:val="center" w:pos="4153"/>
        <w:tab w:val="right" w:pos="8306"/>
      </w:tabs>
    </w:pPr>
  </w:style>
  <w:style w:type="character" w:customStyle="1" w:styleId="FooterChar">
    <w:name w:val="Footer Char"/>
    <w:basedOn w:val="DefaultParagraphFont"/>
    <w:link w:val="Footer"/>
    <w:uiPriority w:val="99"/>
    <w:rsid w:val="00F47657"/>
    <w:rPr>
      <w:rFonts w:ascii="Times New Roman" w:eastAsia="Times New Roman" w:hAnsi="Times New Roman" w:cs="Times New Roman"/>
      <w:sz w:val="24"/>
      <w:szCs w:val="24"/>
      <w:lang w:eastAsia="en-AU"/>
    </w:rPr>
  </w:style>
  <w:style w:type="character" w:styleId="PageNumber">
    <w:name w:val="page number"/>
    <w:basedOn w:val="DefaultParagraphFont"/>
    <w:rsid w:val="00F47657"/>
  </w:style>
  <w:style w:type="paragraph" w:customStyle="1" w:styleId="Stylecefpara11ptRed">
    <w:name w:val="Style cef para + 11 pt Red"/>
    <w:basedOn w:val="Normal"/>
    <w:rsid w:val="00F47657"/>
    <w:pPr>
      <w:spacing w:after="160"/>
    </w:pPr>
    <w:rPr>
      <w:rFonts w:ascii="Century Gothic" w:hAnsi="Century Gothic"/>
      <w:color w:val="FF0000"/>
    </w:rPr>
  </w:style>
  <w:style w:type="paragraph" w:customStyle="1" w:styleId="cefredbullet">
    <w:name w:val="cef red bullet"/>
    <w:basedOn w:val="cefbullet"/>
    <w:rsid w:val="00F47657"/>
    <w:rPr>
      <w:color w:val="FF0000"/>
    </w:rPr>
  </w:style>
  <w:style w:type="character" w:customStyle="1" w:styleId="cefheading2Char">
    <w:name w:val="cef heading 2 Char"/>
    <w:link w:val="cefheading2"/>
    <w:rsid w:val="00257DF2"/>
    <w:rPr>
      <w:rFonts w:ascii="Akrobat Bold" w:eastAsia="Times New Roman" w:hAnsi="Akrobat Bold" w:cs="Arial"/>
      <w:bCs/>
      <w:color w:val="0090A3"/>
      <w:kern w:val="32"/>
      <w:sz w:val="40"/>
      <w:lang w:eastAsia="en-AU"/>
    </w:rPr>
  </w:style>
  <w:style w:type="paragraph" w:customStyle="1" w:styleId="TableText">
    <w:name w:val="Table Text"/>
    <w:basedOn w:val="Normal"/>
    <w:link w:val="TableTextChar"/>
    <w:rsid w:val="00F47657"/>
    <w:pPr>
      <w:spacing w:before="40" w:after="40"/>
    </w:pPr>
    <w:rPr>
      <w:rFonts w:ascii="Verdana" w:hAnsi="Verdana"/>
      <w:sz w:val="17"/>
    </w:rPr>
  </w:style>
  <w:style w:type="character" w:customStyle="1" w:styleId="TableTextChar">
    <w:name w:val="Table Text Char"/>
    <w:link w:val="TableText"/>
    <w:rsid w:val="00F47657"/>
    <w:rPr>
      <w:rFonts w:ascii="Verdana" w:eastAsia="Times New Roman" w:hAnsi="Verdana" w:cs="Arial"/>
      <w:sz w:val="17"/>
      <w:szCs w:val="24"/>
      <w:lang w:eastAsia="en-AU"/>
    </w:rPr>
  </w:style>
  <w:style w:type="character" w:customStyle="1" w:styleId="Heading1Char">
    <w:name w:val="Heading 1 Char"/>
    <w:basedOn w:val="DefaultParagraphFont"/>
    <w:link w:val="Heading1"/>
    <w:rsid w:val="00E1386C"/>
    <w:rPr>
      <w:rFonts w:ascii="Arial" w:eastAsia="Times New Roman" w:hAnsi="Arial" w:cs="Arial"/>
      <w:b/>
      <w:noProof/>
      <w:color w:val="196BAC"/>
      <w:sz w:val="72"/>
      <w:szCs w:val="72"/>
      <w:lang w:eastAsia="en-AU"/>
    </w:rPr>
  </w:style>
  <w:style w:type="character" w:customStyle="1" w:styleId="Heading2Char">
    <w:name w:val="Heading 2 Char"/>
    <w:basedOn w:val="DefaultParagraphFont"/>
    <w:link w:val="Heading2"/>
    <w:uiPriority w:val="9"/>
    <w:rsid w:val="006F35F2"/>
    <w:rPr>
      <w:rFonts w:ascii="Arial" w:eastAsia="Times New Roman" w:hAnsi="Arial" w:cs="Arial"/>
      <w:b/>
      <w:bCs/>
      <w:color w:val="164364"/>
      <w:kern w:val="32"/>
      <w:sz w:val="44"/>
      <w:szCs w:val="44"/>
      <w:lang w:val="en-US" w:eastAsia="en-AU"/>
    </w:rPr>
  </w:style>
  <w:style w:type="character" w:customStyle="1" w:styleId="Heading3Char">
    <w:name w:val="Heading 3 Char"/>
    <w:basedOn w:val="DefaultParagraphFont"/>
    <w:link w:val="Heading3"/>
    <w:rsid w:val="00D54C2D"/>
    <w:rPr>
      <w:rFonts w:ascii="Arial" w:eastAsia="Times New Roman" w:hAnsi="Arial" w:cs="Arial"/>
      <w:b/>
      <w:bCs/>
      <w:noProof/>
      <w:color w:val="958A7A"/>
      <w:sz w:val="24"/>
      <w:szCs w:val="24"/>
      <w:lang w:val="en-US" w:eastAsia="en-AU"/>
      <w14:textFill>
        <w14:solidFill>
          <w14:srgbClr w14:val="958A7A">
            <w14:lumMod w14:val="65000"/>
          </w14:srgbClr>
        </w14:solidFill>
      </w14:textFill>
    </w:rPr>
  </w:style>
  <w:style w:type="character" w:customStyle="1" w:styleId="Heading4Char">
    <w:name w:val="Heading 4 Char"/>
    <w:basedOn w:val="DefaultParagraphFont"/>
    <w:link w:val="Heading4"/>
    <w:rsid w:val="00DC75EB"/>
    <w:rPr>
      <w:rFonts w:ascii="Arial" w:eastAsia="Times New Roman" w:hAnsi="Arial" w:cs="Arial"/>
      <w:b/>
      <w:noProof/>
      <w:color w:val="000000" w:themeColor="text1"/>
      <w:lang w:eastAsia="en-AU"/>
    </w:rPr>
  </w:style>
  <w:style w:type="character" w:customStyle="1" w:styleId="Heading5Char">
    <w:name w:val="Heading 5 Char"/>
    <w:basedOn w:val="DefaultParagraphFont"/>
    <w:link w:val="Heading5"/>
    <w:rsid w:val="00D60E63"/>
    <w:rPr>
      <w:rFonts w:ascii="Arial" w:eastAsia="Times New Roman" w:hAnsi="Arial" w:cs="Arial"/>
      <w:noProof/>
      <w:color w:val="000000" w:themeColor="text1"/>
      <w:szCs w:val="20"/>
      <w:lang w:eastAsia="en-AU"/>
    </w:rPr>
  </w:style>
  <w:style w:type="character" w:customStyle="1" w:styleId="Heading6Char">
    <w:name w:val="Heading 6 Char"/>
    <w:basedOn w:val="DefaultParagraphFont"/>
    <w:link w:val="Heading6"/>
    <w:rsid w:val="00D60E63"/>
    <w:rPr>
      <w:rFonts w:ascii="Arial" w:eastAsia="Times New Roman" w:hAnsi="Arial" w:cs="Arial"/>
      <w:i/>
      <w:noProof/>
      <w:color w:val="000000" w:themeColor="text1"/>
      <w:szCs w:val="20"/>
      <w:lang w:eastAsia="en-AU"/>
    </w:rPr>
  </w:style>
  <w:style w:type="character" w:customStyle="1" w:styleId="Heading7Char">
    <w:name w:val="Heading 7 Char"/>
    <w:basedOn w:val="DefaultParagraphFont"/>
    <w:link w:val="Heading7"/>
    <w:rsid w:val="00D60E63"/>
    <w:rPr>
      <w:rFonts w:ascii="Arial" w:eastAsia="Times New Roman" w:hAnsi="Arial" w:cs="Arial"/>
      <w:noProof/>
      <w:color w:val="000000" w:themeColor="text1"/>
      <w:sz w:val="20"/>
      <w:szCs w:val="20"/>
      <w:lang w:eastAsia="en-AU"/>
    </w:rPr>
  </w:style>
  <w:style w:type="character" w:customStyle="1" w:styleId="Heading8Char">
    <w:name w:val="Heading 8 Char"/>
    <w:basedOn w:val="DefaultParagraphFont"/>
    <w:link w:val="Heading8"/>
    <w:rsid w:val="00D60E63"/>
    <w:rPr>
      <w:rFonts w:ascii="Arial" w:eastAsia="Times New Roman" w:hAnsi="Arial" w:cs="Arial"/>
      <w:i/>
      <w:noProof/>
      <w:color w:val="000000" w:themeColor="text1"/>
      <w:sz w:val="20"/>
      <w:szCs w:val="20"/>
      <w:lang w:eastAsia="en-AU"/>
    </w:rPr>
  </w:style>
  <w:style w:type="character" w:customStyle="1" w:styleId="Heading9Char">
    <w:name w:val="Heading 9 Char"/>
    <w:basedOn w:val="DefaultParagraphFont"/>
    <w:link w:val="Heading9"/>
    <w:rsid w:val="00D60E63"/>
    <w:rPr>
      <w:rFonts w:ascii="Arial" w:eastAsia="Times New Roman" w:hAnsi="Arial" w:cs="Arial"/>
      <w:i/>
      <w:noProof/>
      <w:color w:val="000000" w:themeColor="text1"/>
      <w:sz w:val="18"/>
      <w:szCs w:val="20"/>
      <w:lang w:eastAsia="en-AU"/>
    </w:rPr>
  </w:style>
  <w:style w:type="paragraph" w:customStyle="1" w:styleId="body2">
    <w:name w:val="body 2"/>
    <w:basedOn w:val="Normal"/>
    <w:rsid w:val="00D60E63"/>
    <w:pPr>
      <w:keepLines/>
      <w:spacing w:before="120"/>
      <w:ind w:left="993"/>
    </w:pPr>
    <w:rPr>
      <w:sz w:val="20"/>
      <w:szCs w:val="20"/>
    </w:rPr>
  </w:style>
  <w:style w:type="paragraph" w:customStyle="1" w:styleId="cefpara">
    <w:name w:val="cef para"/>
    <w:basedOn w:val="Normal"/>
    <w:link w:val="cefparaChar"/>
    <w:autoRedefine/>
    <w:rsid w:val="002567F4"/>
    <w:pPr>
      <w:spacing w:after="160"/>
    </w:pPr>
    <w:rPr>
      <w:rFonts w:ascii="Calibri Light" w:hAnsi="Calibri Light"/>
      <w:b/>
      <w:color w:val="F2F2F2" w:themeColor="background1" w:themeShade="F2"/>
    </w:rPr>
  </w:style>
  <w:style w:type="character" w:customStyle="1" w:styleId="cefparaChar">
    <w:name w:val="cef para Char"/>
    <w:link w:val="cefpara"/>
    <w:rsid w:val="002567F4"/>
    <w:rPr>
      <w:rFonts w:ascii="Calibri Light" w:eastAsia="Times New Roman" w:hAnsi="Calibri Light" w:cs="Arial"/>
      <w:b/>
      <w:noProof/>
      <w:color w:val="F2F2F2" w:themeColor="background1" w:themeShade="F2"/>
      <w:lang w:eastAsia="en-AU"/>
    </w:rPr>
  </w:style>
  <w:style w:type="paragraph" w:customStyle="1" w:styleId="Stylecefheading410pt">
    <w:name w:val="Style cef heading 4 + 10 pt"/>
    <w:basedOn w:val="Normal"/>
    <w:link w:val="Stylecefheading410ptChar"/>
    <w:rsid w:val="00D60E63"/>
    <w:rPr>
      <w:rFonts w:ascii="Century Gothic" w:hAnsi="Century Gothic"/>
      <w:b/>
      <w:bCs/>
      <w:i/>
      <w:iCs/>
      <w:color w:val="008000"/>
      <w:kern w:val="32"/>
      <w:sz w:val="20"/>
      <w:szCs w:val="32"/>
    </w:rPr>
  </w:style>
  <w:style w:type="character" w:customStyle="1" w:styleId="Stylecefheading410ptChar">
    <w:name w:val="Style cef heading 4 + 10 pt Char"/>
    <w:link w:val="Stylecefheading410pt"/>
    <w:rsid w:val="00D60E63"/>
    <w:rPr>
      <w:rFonts w:ascii="Century Gothic" w:eastAsia="Times New Roman" w:hAnsi="Century Gothic" w:cs="Arial"/>
      <w:b/>
      <w:bCs/>
      <w:i/>
      <w:iCs/>
      <w:color w:val="008000"/>
      <w:kern w:val="32"/>
      <w:sz w:val="20"/>
      <w:szCs w:val="32"/>
      <w:lang w:eastAsia="en-AU"/>
    </w:rPr>
  </w:style>
  <w:style w:type="paragraph" w:customStyle="1" w:styleId="cefparared">
    <w:name w:val="cef para red"/>
    <w:basedOn w:val="cefpara"/>
    <w:link w:val="cefpararedChar"/>
    <w:rsid w:val="007D72D9"/>
    <w:rPr>
      <w:color w:val="FF0000"/>
      <w14:textFill>
        <w14:solidFill>
          <w14:srgbClr w14:val="FF0000">
            <w14:lumMod w14:val="95000"/>
          </w14:srgbClr>
        </w14:solidFill>
      </w14:textFill>
    </w:rPr>
  </w:style>
  <w:style w:type="character" w:customStyle="1" w:styleId="cefpararedChar">
    <w:name w:val="cef para red Char"/>
    <w:link w:val="cefparared"/>
    <w:rsid w:val="007D72D9"/>
    <w:rPr>
      <w:rFonts w:ascii="Century Gothic" w:eastAsia="Times New Roman" w:hAnsi="Century Gothic" w:cs="Times New Roman"/>
      <w:noProof/>
      <w:color w:val="FF0000"/>
      <w:lang w:eastAsia="en-AU"/>
    </w:rPr>
  </w:style>
  <w:style w:type="paragraph" w:customStyle="1" w:styleId="body1">
    <w:name w:val="body 1"/>
    <w:basedOn w:val="Normal"/>
    <w:rsid w:val="007D72D9"/>
    <w:pPr>
      <w:keepLines/>
      <w:spacing w:before="120"/>
      <w:ind w:left="567"/>
    </w:pPr>
    <w:rPr>
      <w:sz w:val="20"/>
      <w:szCs w:val="20"/>
    </w:rPr>
  </w:style>
  <w:style w:type="paragraph" w:customStyle="1" w:styleId="cefheading1">
    <w:name w:val="cef heading 1"/>
    <w:basedOn w:val="Heading1"/>
    <w:link w:val="cefheading1Char"/>
    <w:autoRedefine/>
    <w:rsid w:val="007D72D9"/>
    <w:pPr>
      <w:spacing w:after="200"/>
    </w:pPr>
    <w:rPr>
      <w:bCs/>
      <w:kern w:val="32"/>
      <w:sz w:val="48"/>
      <w:szCs w:val="32"/>
    </w:rPr>
  </w:style>
  <w:style w:type="numbering" w:customStyle="1" w:styleId="StyleHeading110ptGray-50">
    <w:name w:val="Style Heading 1 + 10 pt Gray-50%"/>
    <w:basedOn w:val="NoList"/>
    <w:rsid w:val="007D72D9"/>
    <w:pPr>
      <w:numPr>
        <w:numId w:val="3"/>
      </w:numPr>
    </w:pPr>
  </w:style>
  <w:style w:type="paragraph" w:customStyle="1" w:styleId="Stylecefbullet11ptRed">
    <w:name w:val="Style cef  bullet + 11 pt Red"/>
    <w:basedOn w:val="cefbullet"/>
    <w:rsid w:val="007D72D9"/>
    <w:pPr>
      <w:numPr>
        <w:numId w:val="0"/>
      </w:numPr>
      <w:ind w:left="567" w:hanging="567"/>
    </w:pPr>
    <w:rPr>
      <w:color w:val="FF0000"/>
    </w:rPr>
  </w:style>
  <w:style w:type="character" w:customStyle="1" w:styleId="cefheading1Char">
    <w:name w:val="cef heading 1 Char"/>
    <w:link w:val="cefheading1"/>
    <w:rsid w:val="007D72D9"/>
    <w:rPr>
      <w:rFonts w:ascii="Arial" w:eastAsia="Times New Roman" w:hAnsi="Arial" w:cs="Arial"/>
      <w:b/>
      <w:bCs/>
      <w:kern w:val="32"/>
      <w:sz w:val="48"/>
      <w:szCs w:val="32"/>
      <w:lang w:eastAsia="en-AU"/>
    </w:rPr>
  </w:style>
  <w:style w:type="table" w:styleId="TableGrid">
    <w:name w:val="Table Grid"/>
    <w:basedOn w:val="TableNormal"/>
    <w:rsid w:val="001C5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75207"/>
    <w:pPr>
      <w:ind w:left="720"/>
      <w:contextualSpacing/>
    </w:pPr>
  </w:style>
  <w:style w:type="character" w:styleId="Hyperlink">
    <w:name w:val="Hyperlink"/>
    <w:basedOn w:val="DefaultParagraphFont"/>
    <w:uiPriority w:val="99"/>
    <w:unhideWhenUsed/>
    <w:rsid w:val="00344F41"/>
    <w:rPr>
      <w:color w:val="0563C1" w:themeColor="hyperlink"/>
      <w:u w:val="single"/>
    </w:rPr>
  </w:style>
  <w:style w:type="paragraph" w:styleId="BalloonText">
    <w:name w:val="Balloon Text"/>
    <w:basedOn w:val="Normal"/>
    <w:link w:val="BalloonTextChar"/>
    <w:uiPriority w:val="99"/>
    <w:semiHidden/>
    <w:unhideWhenUsed/>
    <w:rsid w:val="00D134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34B2"/>
    <w:rPr>
      <w:rFonts w:ascii="Lucida Grande" w:eastAsia="Times New Roman" w:hAnsi="Lucida Grande" w:cs="Lucida Grande"/>
      <w:sz w:val="18"/>
      <w:szCs w:val="18"/>
      <w:lang w:eastAsia="en-AU"/>
    </w:rPr>
  </w:style>
  <w:style w:type="character" w:styleId="BookTitle">
    <w:name w:val="Book Title"/>
    <w:basedOn w:val="DefaultParagraphFont"/>
    <w:uiPriority w:val="33"/>
    <w:rsid w:val="00972B8F"/>
    <w:rPr>
      <w:b/>
      <w:bCs/>
      <w:smallCaps/>
      <w:spacing w:val="5"/>
    </w:rPr>
  </w:style>
  <w:style w:type="paragraph" w:customStyle="1" w:styleId="TITLE1">
    <w:name w:val="TITLE1"/>
    <w:basedOn w:val="Normal"/>
    <w:link w:val="TITLE1Char"/>
    <w:qFormat/>
    <w:rsid w:val="00DA44EC"/>
    <w:pPr>
      <w:spacing w:after="240"/>
      <w:outlineLvl w:val="0"/>
    </w:pPr>
    <w:rPr>
      <w:b/>
      <w:color w:val="0090A3"/>
      <w:sz w:val="80"/>
      <w:szCs w:val="80"/>
    </w:rPr>
  </w:style>
  <w:style w:type="paragraph" w:customStyle="1" w:styleId="TITLE2">
    <w:name w:val="TITLE 2"/>
    <w:basedOn w:val="Normal"/>
    <w:link w:val="TITLE2Char"/>
    <w:rsid w:val="00982528"/>
    <w:rPr>
      <w:sz w:val="40"/>
      <w:szCs w:val="40"/>
    </w:rPr>
  </w:style>
  <w:style w:type="character" w:customStyle="1" w:styleId="TITLE1Char">
    <w:name w:val="TITLE1 Char"/>
    <w:basedOn w:val="DefaultParagraphFont"/>
    <w:link w:val="TITLE1"/>
    <w:rsid w:val="00DA44EC"/>
    <w:rPr>
      <w:rFonts w:ascii="Arial" w:eastAsia="Times New Roman" w:hAnsi="Arial" w:cs="Arial"/>
      <w:b/>
      <w:noProof/>
      <w:color w:val="0090A3"/>
      <w:sz w:val="80"/>
      <w:szCs w:val="80"/>
      <w:lang w:eastAsia="en-AU"/>
    </w:rPr>
  </w:style>
  <w:style w:type="paragraph" w:customStyle="1" w:styleId="BULLETS">
    <w:name w:val="BULLETS"/>
    <w:basedOn w:val="cefbullet"/>
    <w:link w:val="BULLETSChar"/>
    <w:rsid w:val="00257DF2"/>
    <w:rPr>
      <w:rFonts w:ascii="Arial" w:hAnsi="Arial"/>
    </w:rPr>
  </w:style>
  <w:style w:type="character" w:customStyle="1" w:styleId="TITLE2Char">
    <w:name w:val="TITLE 2 Char"/>
    <w:basedOn w:val="DefaultParagraphFont"/>
    <w:link w:val="TITLE2"/>
    <w:rsid w:val="00982528"/>
    <w:rPr>
      <w:rFonts w:ascii="Arial" w:eastAsia="Times New Roman" w:hAnsi="Arial" w:cs="Arial"/>
      <w:sz w:val="40"/>
      <w:szCs w:val="40"/>
      <w:lang w:eastAsia="en-AU"/>
    </w:rPr>
  </w:style>
  <w:style w:type="paragraph" w:customStyle="1" w:styleId="Heading11">
    <w:name w:val="Heading 11"/>
    <w:basedOn w:val="TITLE1"/>
    <w:link w:val="HEADING1Char0"/>
    <w:rsid w:val="000C2FF8"/>
    <w:rPr>
      <w:b w:val="0"/>
      <w:sz w:val="40"/>
      <w:szCs w:val="40"/>
    </w:rPr>
  </w:style>
  <w:style w:type="character" w:customStyle="1" w:styleId="cefbulletChar">
    <w:name w:val="cef  bullet Char"/>
    <w:basedOn w:val="DefaultParagraphFont"/>
    <w:link w:val="cefbullet"/>
    <w:rsid w:val="00257DF2"/>
    <w:rPr>
      <w:rFonts w:ascii="Century Gothic" w:eastAsia="Times New Roman" w:hAnsi="Century Gothic" w:cs="Arial"/>
      <w:noProof/>
      <w:color w:val="000000" w:themeColor="text1"/>
      <w:lang w:eastAsia="en-AU"/>
    </w:rPr>
  </w:style>
  <w:style w:type="character" w:customStyle="1" w:styleId="BULLETSChar">
    <w:name w:val="BULLETS Char"/>
    <w:basedOn w:val="cefbulletChar"/>
    <w:link w:val="BULLETS"/>
    <w:rsid w:val="00257DF2"/>
    <w:rPr>
      <w:rFonts w:ascii="Arial" w:eastAsia="Times New Roman" w:hAnsi="Arial" w:cs="Arial"/>
      <w:noProof/>
      <w:color w:val="000000" w:themeColor="text1"/>
      <w:lang w:eastAsia="en-AU"/>
    </w:rPr>
  </w:style>
  <w:style w:type="paragraph" w:customStyle="1" w:styleId="Heading21">
    <w:name w:val="Heading 21"/>
    <w:basedOn w:val="cefheading3"/>
    <w:link w:val="HEADING2Char0"/>
    <w:rsid w:val="00516686"/>
    <w:pPr>
      <w:spacing w:before="360"/>
    </w:pPr>
    <w:rPr>
      <w:sz w:val="32"/>
    </w:rPr>
  </w:style>
  <w:style w:type="character" w:customStyle="1" w:styleId="HEADING1Char0">
    <w:name w:val="HEADING 1 Char"/>
    <w:basedOn w:val="cefheading2Char"/>
    <w:link w:val="Heading11"/>
    <w:rsid w:val="000C2FF8"/>
    <w:rPr>
      <w:rFonts w:ascii="Arial" w:eastAsia="Times New Roman" w:hAnsi="Arial" w:cs="Arial"/>
      <w:b/>
      <w:bCs w:val="0"/>
      <w:noProof/>
      <w:color w:val="0090A3"/>
      <w:kern w:val="32"/>
      <w:sz w:val="40"/>
      <w:szCs w:val="40"/>
      <w:lang w:eastAsia="en-AU"/>
    </w:rPr>
  </w:style>
  <w:style w:type="paragraph" w:customStyle="1" w:styleId="TABLENORMAL0">
    <w:name w:val="TABLE NORMAL"/>
    <w:basedOn w:val="Normal"/>
    <w:qFormat/>
    <w:rsid w:val="00E746B2"/>
  </w:style>
  <w:style w:type="character" w:customStyle="1" w:styleId="HEADING2Char0">
    <w:name w:val="HEADING 2 Char"/>
    <w:basedOn w:val="cefheading3Char"/>
    <w:link w:val="Heading21"/>
    <w:rsid w:val="00516686"/>
    <w:rPr>
      <w:rFonts w:ascii="Arial" w:eastAsia="Times New Roman" w:hAnsi="Arial" w:cs="Arial"/>
      <w:b/>
      <w:bCs/>
      <w:kern w:val="32"/>
      <w:sz w:val="32"/>
      <w:szCs w:val="32"/>
      <w:lang w:eastAsia="en-AU"/>
    </w:rPr>
  </w:style>
  <w:style w:type="paragraph" w:customStyle="1" w:styleId="TABLEBULLETS">
    <w:name w:val="TABLE BULLETS"/>
    <w:basedOn w:val="cefbullet"/>
    <w:qFormat/>
    <w:rsid w:val="0002707D"/>
    <w:pPr>
      <w:spacing w:before="0" w:after="0"/>
      <w:ind w:left="357" w:hanging="357"/>
    </w:pPr>
    <w:rPr>
      <w:rFonts w:ascii="Arial" w:hAnsi="Arial"/>
    </w:rPr>
  </w:style>
  <w:style w:type="paragraph" w:customStyle="1" w:styleId="TABLEHEADING">
    <w:name w:val="TABLE HEADING"/>
    <w:basedOn w:val="cefparared"/>
    <w:qFormat/>
    <w:rsid w:val="00E746B2"/>
    <w:pPr>
      <w:spacing w:after="0"/>
    </w:pPr>
    <w:rPr>
      <w:rFonts w:ascii="Arial" w:hAnsi="Arial"/>
      <w:color w:val="F2F2F2" w:themeColor="background1" w:themeShade="F2"/>
    </w:rPr>
  </w:style>
  <w:style w:type="paragraph" w:customStyle="1" w:styleId="Heading31">
    <w:name w:val="Heading 31"/>
    <w:basedOn w:val="Normal"/>
    <w:rsid w:val="00C95AEB"/>
    <w:rPr>
      <w:b/>
      <w:sz w:val="28"/>
      <w:szCs w:val="28"/>
    </w:rPr>
  </w:style>
  <w:style w:type="paragraph" w:customStyle="1" w:styleId="TITLE4">
    <w:name w:val="TITLE 4"/>
    <w:basedOn w:val="TITLE2"/>
    <w:rsid w:val="00DD1FD7"/>
    <w:pPr>
      <w:spacing w:after="0"/>
    </w:pPr>
    <w:rPr>
      <w:b/>
      <w:color w:val="FFFFFF" w:themeColor="background1"/>
    </w:rPr>
  </w:style>
  <w:style w:type="paragraph" w:customStyle="1" w:styleId="TITLE3">
    <w:name w:val="TITLE 3"/>
    <w:basedOn w:val="TITLE1"/>
    <w:rsid w:val="00472D78"/>
    <w:rPr>
      <w:color w:val="FFFFFF" w:themeColor="background1"/>
      <w:sz w:val="24"/>
      <w:szCs w:val="24"/>
    </w:rPr>
  </w:style>
  <w:style w:type="paragraph" w:customStyle="1" w:styleId="BasicParagraph">
    <w:name w:val="[Basic Paragraph]"/>
    <w:basedOn w:val="Normal"/>
    <w:uiPriority w:val="99"/>
    <w:rsid w:val="009C64CB"/>
    <w:pPr>
      <w:tabs>
        <w:tab w:val="clear" w:pos="-3060"/>
        <w:tab w:val="clear" w:pos="-2340"/>
        <w:tab w:val="clear" w:pos="6300"/>
      </w:tabs>
      <w:suppressAutoHyphens w:val="0"/>
      <w:autoSpaceDE w:val="0"/>
      <w:autoSpaceDN w:val="0"/>
      <w:adjustRightInd w:val="0"/>
      <w:spacing w:after="0" w:line="288" w:lineRule="auto"/>
      <w:textAlignment w:val="center"/>
    </w:pPr>
    <w:rPr>
      <w:rFonts w:ascii="Minion Pro" w:eastAsiaTheme="minorHAnsi" w:hAnsi="Minion Pro" w:cs="Minion Pro"/>
      <w:noProof w:val="0"/>
      <w:color w:val="000000"/>
      <w:sz w:val="24"/>
      <w:szCs w:val="24"/>
      <w:lang w:val="en-GB" w:eastAsia="en-US"/>
    </w:rPr>
  </w:style>
  <w:style w:type="paragraph" w:styleId="EndnoteText">
    <w:name w:val="endnote text"/>
    <w:basedOn w:val="Normal"/>
    <w:link w:val="EndnoteTextChar"/>
    <w:uiPriority w:val="99"/>
    <w:unhideWhenUsed/>
    <w:rsid w:val="008019B6"/>
    <w:pPr>
      <w:tabs>
        <w:tab w:val="clear" w:pos="-3060"/>
        <w:tab w:val="clear" w:pos="-2340"/>
        <w:tab w:val="clear" w:pos="6300"/>
      </w:tabs>
      <w:suppressAutoHyphens w:val="0"/>
      <w:spacing w:before="120" w:after="0" w:line="276" w:lineRule="auto"/>
    </w:pPr>
    <w:rPr>
      <w:rFonts w:ascii="Gill Sans MT" w:eastAsiaTheme="minorHAnsi" w:hAnsi="Gill Sans MT" w:cstheme="minorBidi"/>
      <w:noProof w:val="0"/>
      <w:color w:val="auto"/>
      <w:sz w:val="20"/>
      <w:szCs w:val="20"/>
      <w:lang w:eastAsia="en-US"/>
    </w:rPr>
  </w:style>
  <w:style w:type="character" w:customStyle="1" w:styleId="EndnoteTextChar">
    <w:name w:val="Endnote Text Char"/>
    <w:basedOn w:val="DefaultParagraphFont"/>
    <w:link w:val="EndnoteText"/>
    <w:uiPriority w:val="99"/>
    <w:rsid w:val="008019B6"/>
    <w:rPr>
      <w:rFonts w:ascii="Gill Sans MT" w:hAnsi="Gill Sans MT"/>
      <w:sz w:val="20"/>
      <w:szCs w:val="20"/>
    </w:rPr>
  </w:style>
  <w:style w:type="character" w:styleId="EndnoteReference">
    <w:name w:val="endnote reference"/>
    <w:basedOn w:val="DefaultParagraphFont"/>
    <w:uiPriority w:val="99"/>
    <w:unhideWhenUsed/>
    <w:rsid w:val="008019B6"/>
    <w:rPr>
      <w:vertAlign w:val="superscript"/>
    </w:rPr>
  </w:style>
  <w:style w:type="paragraph" w:customStyle="1" w:styleId="TableandFigureHeading">
    <w:name w:val="Table and Figure Heading"/>
    <w:basedOn w:val="Normal"/>
    <w:qFormat/>
    <w:rsid w:val="00544371"/>
    <w:pPr>
      <w:tabs>
        <w:tab w:val="clear" w:pos="-3060"/>
        <w:tab w:val="clear" w:pos="-2340"/>
        <w:tab w:val="clear" w:pos="6300"/>
      </w:tabs>
      <w:suppressAutoHyphens w:val="0"/>
      <w:spacing w:before="120" w:line="276" w:lineRule="auto"/>
    </w:pPr>
    <w:rPr>
      <w:rFonts w:eastAsiaTheme="minorHAnsi" w:cstheme="minorBidi"/>
      <w:b/>
      <w:noProof w:val="0"/>
      <w:color w:val="FFFFFF" w:themeColor="background1"/>
      <w:lang w:eastAsia="en-US"/>
    </w:rPr>
  </w:style>
  <w:style w:type="character" w:customStyle="1" w:styleId="ListParagraphChar">
    <w:name w:val="List Paragraph Char"/>
    <w:basedOn w:val="DefaultParagraphFont"/>
    <w:link w:val="ListParagraph"/>
    <w:uiPriority w:val="34"/>
    <w:rsid w:val="0065061E"/>
    <w:rPr>
      <w:rFonts w:ascii="Arial" w:eastAsia="Times New Roman" w:hAnsi="Arial" w:cs="Arial"/>
      <w:noProof/>
      <w:color w:val="000000" w:themeColor="text1"/>
      <w:lang w:eastAsia="en-AU"/>
    </w:rPr>
  </w:style>
  <w:style w:type="paragraph" w:styleId="NoSpacing">
    <w:name w:val="No Spacing"/>
    <w:uiPriority w:val="1"/>
    <w:rsid w:val="00EC021A"/>
    <w:pPr>
      <w:numPr>
        <w:numId w:val="4"/>
      </w:numPr>
      <w:spacing w:after="0" w:line="240" w:lineRule="auto"/>
    </w:pPr>
  </w:style>
  <w:style w:type="paragraph" w:styleId="FootnoteText">
    <w:name w:val="footnote text"/>
    <w:basedOn w:val="Normal"/>
    <w:link w:val="FootnoteTextChar"/>
    <w:uiPriority w:val="99"/>
    <w:semiHidden/>
    <w:unhideWhenUsed/>
    <w:rsid w:val="00D879D2"/>
    <w:pPr>
      <w:spacing w:after="0"/>
    </w:pPr>
    <w:rPr>
      <w:sz w:val="20"/>
      <w:szCs w:val="20"/>
    </w:rPr>
  </w:style>
  <w:style w:type="character" w:customStyle="1" w:styleId="FootnoteTextChar">
    <w:name w:val="Footnote Text Char"/>
    <w:basedOn w:val="DefaultParagraphFont"/>
    <w:link w:val="FootnoteText"/>
    <w:uiPriority w:val="99"/>
    <w:semiHidden/>
    <w:rsid w:val="00D879D2"/>
    <w:rPr>
      <w:rFonts w:ascii="Arial" w:eastAsia="Times New Roman" w:hAnsi="Arial" w:cs="Arial"/>
      <w:noProof/>
      <w:color w:val="000000" w:themeColor="text1"/>
      <w:sz w:val="20"/>
      <w:szCs w:val="20"/>
      <w:lang w:eastAsia="en-AU"/>
    </w:rPr>
  </w:style>
  <w:style w:type="character" w:styleId="FootnoteReference">
    <w:name w:val="footnote reference"/>
    <w:basedOn w:val="DefaultParagraphFont"/>
    <w:uiPriority w:val="99"/>
    <w:semiHidden/>
    <w:unhideWhenUsed/>
    <w:rsid w:val="00D879D2"/>
    <w:rPr>
      <w:vertAlign w:val="superscript"/>
    </w:rPr>
  </w:style>
  <w:style w:type="table" w:styleId="TableGridLight">
    <w:name w:val="Grid Table Light"/>
    <w:basedOn w:val="TableNormal"/>
    <w:uiPriority w:val="40"/>
    <w:rsid w:val="00EA6CA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4">
    <w:name w:val="H 4"/>
    <w:basedOn w:val="Normal"/>
    <w:link w:val="H4Char"/>
    <w:rsid w:val="00AC1521"/>
    <w:rPr>
      <w:b/>
      <w:sz w:val="28"/>
      <w:szCs w:val="28"/>
      <w:lang w:val="en-US"/>
    </w:rPr>
  </w:style>
  <w:style w:type="character" w:customStyle="1" w:styleId="H4Char">
    <w:name w:val="H 4 Char"/>
    <w:basedOn w:val="DefaultParagraphFont"/>
    <w:link w:val="H4"/>
    <w:rsid w:val="00AC1521"/>
    <w:rPr>
      <w:rFonts w:ascii="Arial" w:eastAsia="Times New Roman" w:hAnsi="Arial" w:cs="Arial"/>
      <w:b/>
      <w:noProof/>
      <w:color w:val="000000" w:themeColor="text1"/>
      <w:sz w:val="28"/>
      <w:szCs w:val="28"/>
      <w:lang w:val="en-US" w:eastAsia="en-AU"/>
    </w:rPr>
  </w:style>
  <w:style w:type="paragraph" w:styleId="TOCHeading">
    <w:name w:val="TOC Heading"/>
    <w:basedOn w:val="Heading1"/>
    <w:next w:val="Normal"/>
    <w:uiPriority w:val="39"/>
    <w:unhideWhenUsed/>
    <w:rsid w:val="00104AEA"/>
    <w:pPr>
      <w:keepNext/>
      <w:keepLines/>
      <w:tabs>
        <w:tab w:val="clear" w:pos="-3060"/>
        <w:tab w:val="clear" w:pos="-2340"/>
        <w:tab w:val="clear" w:pos="6300"/>
      </w:tabs>
      <w:suppressAutoHyphens w:val="0"/>
      <w:spacing w:before="240" w:after="0" w:line="259" w:lineRule="auto"/>
      <w:outlineLvl w:val="9"/>
    </w:pPr>
    <w:rPr>
      <w:rFonts w:asciiTheme="majorHAnsi" w:eastAsiaTheme="majorEastAsia" w:hAnsiTheme="majorHAnsi" w:cstheme="majorBidi"/>
      <w:noProof w:val="0"/>
      <w:color w:val="2E74B5" w:themeColor="accent1" w:themeShade="BF"/>
      <w:sz w:val="32"/>
      <w:szCs w:val="32"/>
      <w:lang w:val="en-US" w:eastAsia="en-US"/>
    </w:rPr>
  </w:style>
  <w:style w:type="paragraph" w:styleId="TOC1">
    <w:name w:val="toc 1"/>
    <w:basedOn w:val="Normal"/>
    <w:next w:val="Normal"/>
    <w:autoRedefine/>
    <w:uiPriority w:val="39"/>
    <w:unhideWhenUsed/>
    <w:rsid w:val="00104AEA"/>
    <w:pPr>
      <w:tabs>
        <w:tab w:val="clear" w:pos="-3060"/>
        <w:tab w:val="clear" w:pos="-2340"/>
        <w:tab w:val="clear" w:pos="6300"/>
      </w:tabs>
      <w:spacing w:after="100"/>
    </w:pPr>
  </w:style>
  <w:style w:type="paragraph" w:styleId="TOC3">
    <w:name w:val="toc 3"/>
    <w:basedOn w:val="Normal"/>
    <w:next w:val="Normal"/>
    <w:autoRedefine/>
    <w:uiPriority w:val="39"/>
    <w:unhideWhenUsed/>
    <w:rsid w:val="00104AEA"/>
    <w:pPr>
      <w:tabs>
        <w:tab w:val="clear" w:pos="-3060"/>
        <w:tab w:val="clear" w:pos="-2340"/>
        <w:tab w:val="clear" w:pos="6300"/>
      </w:tabs>
      <w:spacing w:after="100"/>
      <w:ind w:left="440"/>
    </w:pPr>
  </w:style>
  <w:style w:type="paragraph" w:styleId="TOC2">
    <w:name w:val="toc 2"/>
    <w:basedOn w:val="Normal"/>
    <w:next w:val="Normal"/>
    <w:autoRedefine/>
    <w:uiPriority w:val="39"/>
    <w:unhideWhenUsed/>
    <w:rsid w:val="00104AEA"/>
    <w:pPr>
      <w:tabs>
        <w:tab w:val="clear" w:pos="-3060"/>
        <w:tab w:val="clear" w:pos="-2340"/>
        <w:tab w:val="clear" w:pos="6300"/>
      </w:tabs>
      <w:spacing w:after="100"/>
      <w:ind w:left="220"/>
    </w:pPr>
  </w:style>
  <w:style w:type="character" w:styleId="CommentReference">
    <w:name w:val="annotation reference"/>
    <w:basedOn w:val="DefaultParagraphFont"/>
    <w:uiPriority w:val="99"/>
    <w:semiHidden/>
    <w:unhideWhenUsed/>
    <w:rsid w:val="00C95F79"/>
    <w:rPr>
      <w:sz w:val="16"/>
      <w:szCs w:val="16"/>
    </w:rPr>
  </w:style>
  <w:style w:type="paragraph" w:styleId="CommentText">
    <w:name w:val="annotation text"/>
    <w:basedOn w:val="Normal"/>
    <w:link w:val="CommentTextChar"/>
    <w:uiPriority w:val="99"/>
    <w:semiHidden/>
    <w:unhideWhenUsed/>
    <w:rsid w:val="00C95F79"/>
    <w:rPr>
      <w:sz w:val="20"/>
      <w:szCs w:val="20"/>
    </w:rPr>
  </w:style>
  <w:style w:type="character" w:customStyle="1" w:styleId="CommentTextChar">
    <w:name w:val="Comment Text Char"/>
    <w:basedOn w:val="DefaultParagraphFont"/>
    <w:link w:val="CommentText"/>
    <w:uiPriority w:val="99"/>
    <w:semiHidden/>
    <w:rsid w:val="00C95F79"/>
    <w:rPr>
      <w:rFonts w:ascii="Arial" w:eastAsia="Times New Roman" w:hAnsi="Arial" w:cs="Arial"/>
      <w:noProof/>
      <w:color w:val="000000" w:themeColor="text1"/>
      <w:sz w:val="20"/>
      <w:szCs w:val="20"/>
      <w:lang w:eastAsia="en-AU"/>
    </w:rPr>
  </w:style>
  <w:style w:type="paragraph" w:styleId="CommentSubject">
    <w:name w:val="annotation subject"/>
    <w:basedOn w:val="CommentText"/>
    <w:next w:val="CommentText"/>
    <w:link w:val="CommentSubjectChar"/>
    <w:uiPriority w:val="99"/>
    <w:semiHidden/>
    <w:unhideWhenUsed/>
    <w:rsid w:val="00C95F79"/>
    <w:rPr>
      <w:b/>
      <w:bCs/>
    </w:rPr>
  </w:style>
  <w:style w:type="character" w:customStyle="1" w:styleId="CommentSubjectChar">
    <w:name w:val="Comment Subject Char"/>
    <w:basedOn w:val="CommentTextChar"/>
    <w:link w:val="CommentSubject"/>
    <w:uiPriority w:val="99"/>
    <w:semiHidden/>
    <w:rsid w:val="00C95F79"/>
    <w:rPr>
      <w:rFonts w:ascii="Arial" w:eastAsia="Times New Roman" w:hAnsi="Arial" w:cs="Arial"/>
      <w:b/>
      <w:bCs/>
      <w:noProof/>
      <w:color w:val="000000" w:themeColor="text1"/>
      <w:sz w:val="20"/>
      <w:szCs w:val="20"/>
      <w:lang w:eastAsia="en-AU"/>
    </w:rPr>
  </w:style>
  <w:style w:type="paragraph" w:customStyle="1" w:styleId="NormalBullets">
    <w:name w:val="Normal Bullets"/>
    <w:basedOn w:val="Normal"/>
    <w:link w:val="NormalBulletsChar"/>
    <w:qFormat/>
    <w:rsid w:val="00342954"/>
    <w:pPr>
      <w:numPr>
        <w:numId w:val="5"/>
      </w:numPr>
      <w:tabs>
        <w:tab w:val="clear" w:pos="-3060"/>
        <w:tab w:val="clear" w:pos="-2340"/>
        <w:tab w:val="clear" w:pos="6300"/>
        <w:tab w:val="right" w:pos="8931"/>
      </w:tabs>
      <w:suppressAutoHyphens w:val="0"/>
    </w:pPr>
    <w:rPr>
      <w:rFonts w:eastAsia="Calibri"/>
      <w:color w:val="auto"/>
      <w:lang w:eastAsia="en-US"/>
    </w:rPr>
  </w:style>
  <w:style w:type="character" w:customStyle="1" w:styleId="NormalBulletsChar">
    <w:name w:val="Normal Bullets Char"/>
    <w:basedOn w:val="DefaultParagraphFont"/>
    <w:link w:val="NormalBullets"/>
    <w:rsid w:val="00342954"/>
    <w:rPr>
      <w:rFonts w:ascii="Arial" w:eastAsia="Calibri" w:hAnsi="Arial" w:cs="Arial"/>
      <w:noProof/>
    </w:rPr>
  </w:style>
  <w:style w:type="paragraph" w:customStyle="1" w:styleId="Title20">
    <w:name w:val="Title 2"/>
    <w:basedOn w:val="TITLE2"/>
    <w:link w:val="Title2Char0"/>
    <w:qFormat/>
    <w:rsid w:val="00F65372"/>
  </w:style>
  <w:style w:type="character" w:customStyle="1" w:styleId="Title2Char0">
    <w:name w:val="Title 2 Char"/>
    <w:basedOn w:val="TITLE2Char"/>
    <w:link w:val="Title20"/>
    <w:rsid w:val="00F65372"/>
    <w:rPr>
      <w:rFonts w:ascii="Arial" w:eastAsia="Times New Roman" w:hAnsi="Arial" w:cs="Arial"/>
      <w:noProof/>
      <w:color w:val="000000" w:themeColor="text1"/>
      <w:sz w:val="40"/>
      <w:szCs w:val="40"/>
      <w:lang w:eastAsia="en-AU"/>
    </w:rPr>
  </w:style>
  <w:style w:type="paragraph" w:customStyle="1" w:styleId="textbox">
    <w:name w:val="textbox"/>
    <w:basedOn w:val="Normal"/>
    <w:rsid w:val="005924BC"/>
    <w:pPr>
      <w:tabs>
        <w:tab w:val="clear" w:pos="-3060"/>
        <w:tab w:val="clear" w:pos="-2340"/>
        <w:tab w:val="clear" w:pos="6300"/>
      </w:tabs>
      <w:suppressAutoHyphens w:val="0"/>
      <w:spacing w:before="100" w:beforeAutospacing="1" w:after="100" w:afterAutospacing="1"/>
    </w:pPr>
    <w:rPr>
      <w:rFonts w:ascii="Times" w:eastAsiaTheme="minorHAnsi" w:hAnsi="Times"/>
      <w:noProof w:val="0"/>
      <w:color w:val="auto"/>
      <w:sz w:val="20"/>
      <w:szCs w:val="20"/>
      <w:lang w:eastAsia="en-US"/>
    </w:rPr>
  </w:style>
  <w:style w:type="table" w:customStyle="1" w:styleId="TableGrid1">
    <w:name w:val="Table Grid1"/>
    <w:basedOn w:val="TableNormal"/>
    <w:uiPriority w:val="59"/>
    <w:rsid w:val="005924B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5924B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E65C3E"/>
    <w:rPr>
      <w:color w:val="808080"/>
      <w:shd w:val="clear" w:color="auto" w:fill="E6E6E6"/>
    </w:rPr>
  </w:style>
  <w:style w:type="numbering" w:customStyle="1" w:styleId="Style1">
    <w:name w:val="Style1"/>
    <w:uiPriority w:val="99"/>
    <w:rsid w:val="00FC43AE"/>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91188">
      <w:bodyDiv w:val="1"/>
      <w:marLeft w:val="0"/>
      <w:marRight w:val="0"/>
      <w:marTop w:val="0"/>
      <w:marBottom w:val="0"/>
      <w:divBdr>
        <w:top w:val="none" w:sz="0" w:space="0" w:color="auto"/>
        <w:left w:val="none" w:sz="0" w:space="0" w:color="auto"/>
        <w:bottom w:val="none" w:sz="0" w:space="0" w:color="auto"/>
        <w:right w:val="none" w:sz="0" w:space="0" w:color="auto"/>
      </w:divBdr>
    </w:div>
    <w:div w:id="193202875">
      <w:bodyDiv w:val="1"/>
      <w:marLeft w:val="0"/>
      <w:marRight w:val="0"/>
      <w:marTop w:val="0"/>
      <w:marBottom w:val="0"/>
      <w:divBdr>
        <w:top w:val="none" w:sz="0" w:space="0" w:color="auto"/>
        <w:left w:val="none" w:sz="0" w:space="0" w:color="auto"/>
        <w:bottom w:val="none" w:sz="0" w:space="0" w:color="auto"/>
        <w:right w:val="none" w:sz="0" w:space="0" w:color="auto"/>
      </w:divBdr>
    </w:div>
    <w:div w:id="205407768">
      <w:bodyDiv w:val="1"/>
      <w:marLeft w:val="0"/>
      <w:marRight w:val="0"/>
      <w:marTop w:val="0"/>
      <w:marBottom w:val="0"/>
      <w:divBdr>
        <w:top w:val="none" w:sz="0" w:space="0" w:color="auto"/>
        <w:left w:val="none" w:sz="0" w:space="0" w:color="auto"/>
        <w:bottom w:val="none" w:sz="0" w:space="0" w:color="auto"/>
        <w:right w:val="none" w:sz="0" w:space="0" w:color="auto"/>
      </w:divBdr>
    </w:div>
    <w:div w:id="238754498">
      <w:bodyDiv w:val="1"/>
      <w:marLeft w:val="0"/>
      <w:marRight w:val="0"/>
      <w:marTop w:val="0"/>
      <w:marBottom w:val="0"/>
      <w:divBdr>
        <w:top w:val="none" w:sz="0" w:space="0" w:color="auto"/>
        <w:left w:val="none" w:sz="0" w:space="0" w:color="auto"/>
        <w:bottom w:val="none" w:sz="0" w:space="0" w:color="auto"/>
        <w:right w:val="none" w:sz="0" w:space="0" w:color="auto"/>
      </w:divBdr>
    </w:div>
    <w:div w:id="283007005">
      <w:bodyDiv w:val="1"/>
      <w:marLeft w:val="0"/>
      <w:marRight w:val="0"/>
      <w:marTop w:val="0"/>
      <w:marBottom w:val="0"/>
      <w:divBdr>
        <w:top w:val="none" w:sz="0" w:space="0" w:color="auto"/>
        <w:left w:val="none" w:sz="0" w:space="0" w:color="auto"/>
        <w:bottom w:val="none" w:sz="0" w:space="0" w:color="auto"/>
        <w:right w:val="none" w:sz="0" w:space="0" w:color="auto"/>
      </w:divBdr>
    </w:div>
    <w:div w:id="359818888">
      <w:bodyDiv w:val="1"/>
      <w:marLeft w:val="0"/>
      <w:marRight w:val="0"/>
      <w:marTop w:val="0"/>
      <w:marBottom w:val="0"/>
      <w:divBdr>
        <w:top w:val="none" w:sz="0" w:space="0" w:color="auto"/>
        <w:left w:val="none" w:sz="0" w:space="0" w:color="auto"/>
        <w:bottom w:val="none" w:sz="0" w:space="0" w:color="auto"/>
        <w:right w:val="none" w:sz="0" w:space="0" w:color="auto"/>
      </w:divBdr>
    </w:div>
    <w:div w:id="369113932">
      <w:bodyDiv w:val="1"/>
      <w:marLeft w:val="0"/>
      <w:marRight w:val="0"/>
      <w:marTop w:val="0"/>
      <w:marBottom w:val="0"/>
      <w:divBdr>
        <w:top w:val="none" w:sz="0" w:space="0" w:color="auto"/>
        <w:left w:val="none" w:sz="0" w:space="0" w:color="auto"/>
        <w:bottom w:val="none" w:sz="0" w:space="0" w:color="auto"/>
        <w:right w:val="none" w:sz="0" w:space="0" w:color="auto"/>
      </w:divBdr>
    </w:div>
    <w:div w:id="391122912">
      <w:bodyDiv w:val="1"/>
      <w:marLeft w:val="0"/>
      <w:marRight w:val="0"/>
      <w:marTop w:val="0"/>
      <w:marBottom w:val="0"/>
      <w:divBdr>
        <w:top w:val="none" w:sz="0" w:space="0" w:color="auto"/>
        <w:left w:val="none" w:sz="0" w:space="0" w:color="auto"/>
        <w:bottom w:val="none" w:sz="0" w:space="0" w:color="auto"/>
        <w:right w:val="none" w:sz="0" w:space="0" w:color="auto"/>
      </w:divBdr>
    </w:div>
    <w:div w:id="398290676">
      <w:bodyDiv w:val="1"/>
      <w:marLeft w:val="0"/>
      <w:marRight w:val="0"/>
      <w:marTop w:val="0"/>
      <w:marBottom w:val="0"/>
      <w:divBdr>
        <w:top w:val="none" w:sz="0" w:space="0" w:color="auto"/>
        <w:left w:val="none" w:sz="0" w:space="0" w:color="auto"/>
        <w:bottom w:val="none" w:sz="0" w:space="0" w:color="auto"/>
        <w:right w:val="none" w:sz="0" w:space="0" w:color="auto"/>
      </w:divBdr>
    </w:div>
    <w:div w:id="429160626">
      <w:bodyDiv w:val="1"/>
      <w:marLeft w:val="0"/>
      <w:marRight w:val="0"/>
      <w:marTop w:val="0"/>
      <w:marBottom w:val="0"/>
      <w:divBdr>
        <w:top w:val="none" w:sz="0" w:space="0" w:color="auto"/>
        <w:left w:val="none" w:sz="0" w:space="0" w:color="auto"/>
        <w:bottom w:val="none" w:sz="0" w:space="0" w:color="auto"/>
        <w:right w:val="none" w:sz="0" w:space="0" w:color="auto"/>
      </w:divBdr>
    </w:div>
    <w:div w:id="519124219">
      <w:bodyDiv w:val="1"/>
      <w:marLeft w:val="0"/>
      <w:marRight w:val="0"/>
      <w:marTop w:val="0"/>
      <w:marBottom w:val="0"/>
      <w:divBdr>
        <w:top w:val="none" w:sz="0" w:space="0" w:color="auto"/>
        <w:left w:val="none" w:sz="0" w:space="0" w:color="auto"/>
        <w:bottom w:val="none" w:sz="0" w:space="0" w:color="auto"/>
        <w:right w:val="none" w:sz="0" w:space="0" w:color="auto"/>
      </w:divBdr>
    </w:div>
    <w:div w:id="617755727">
      <w:bodyDiv w:val="1"/>
      <w:marLeft w:val="0"/>
      <w:marRight w:val="0"/>
      <w:marTop w:val="0"/>
      <w:marBottom w:val="0"/>
      <w:divBdr>
        <w:top w:val="none" w:sz="0" w:space="0" w:color="auto"/>
        <w:left w:val="none" w:sz="0" w:space="0" w:color="auto"/>
        <w:bottom w:val="none" w:sz="0" w:space="0" w:color="auto"/>
        <w:right w:val="none" w:sz="0" w:space="0" w:color="auto"/>
      </w:divBdr>
    </w:div>
    <w:div w:id="654770999">
      <w:bodyDiv w:val="1"/>
      <w:marLeft w:val="0"/>
      <w:marRight w:val="0"/>
      <w:marTop w:val="0"/>
      <w:marBottom w:val="0"/>
      <w:divBdr>
        <w:top w:val="none" w:sz="0" w:space="0" w:color="auto"/>
        <w:left w:val="none" w:sz="0" w:space="0" w:color="auto"/>
        <w:bottom w:val="none" w:sz="0" w:space="0" w:color="auto"/>
        <w:right w:val="none" w:sz="0" w:space="0" w:color="auto"/>
      </w:divBdr>
    </w:div>
    <w:div w:id="659700647">
      <w:bodyDiv w:val="1"/>
      <w:marLeft w:val="0"/>
      <w:marRight w:val="0"/>
      <w:marTop w:val="0"/>
      <w:marBottom w:val="0"/>
      <w:divBdr>
        <w:top w:val="none" w:sz="0" w:space="0" w:color="auto"/>
        <w:left w:val="none" w:sz="0" w:space="0" w:color="auto"/>
        <w:bottom w:val="none" w:sz="0" w:space="0" w:color="auto"/>
        <w:right w:val="none" w:sz="0" w:space="0" w:color="auto"/>
      </w:divBdr>
    </w:div>
    <w:div w:id="680471565">
      <w:bodyDiv w:val="1"/>
      <w:marLeft w:val="0"/>
      <w:marRight w:val="0"/>
      <w:marTop w:val="0"/>
      <w:marBottom w:val="0"/>
      <w:divBdr>
        <w:top w:val="none" w:sz="0" w:space="0" w:color="auto"/>
        <w:left w:val="none" w:sz="0" w:space="0" w:color="auto"/>
        <w:bottom w:val="none" w:sz="0" w:space="0" w:color="auto"/>
        <w:right w:val="none" w:sz="0" w:space="0" w:color="auto"/>
      </w:divBdr>
    </w:div>
    <w:div w:id="690836543">
      <w:bodyDiv w:val="1"/>
      <w:marLeft w:val="0"/>
      <w:marRight w:val="0"/>
      <w:marTop w:val="0"/>
      <w:marBottom w:val="0"/>
      <w:divBdr>
        <w:top w:val="none" w:sz="0" w:space="0" w:color="auto"/>
        <w:left w:val="none" w:sz="0" w:space="0" w:color="auto"/>
        <w:bottom w:val="none" w:sz="0" w:space="0" w:color="auto"/>
        <w:right w:val="none" w:sz="0" w:space="0" w:color="auto"/>
      </w:divBdr>
    </w:div>
    <w:div w:id="698512578">
      <w:bodyDiv w:val="1"/>
      <w:marLeft w:val="0"/>
      <w:marRight w:val="0"/>
      <w:marTop w:val="0"/>
      <w:marBottom w:val="0"/>
      <w:divBdr>
        <w:top w:val="none" w:sz="0" w:space="0" w:color="auto"/>
        <w:left w:val="none" w:sz="0" w:space="0" w:color="auto"/>
        <w:bottom w:val="none" w:sz="0" w:space="0" w:color="auto"/>
        <w:right w:val="none" w:sz="0" w:space="0" w:color="auto"/>
      </w:divBdr>
    </w:div>
    <w:div w:id="705567919">
      <w:bodyDiv w:val="1"/>
      <w:marLeft w:val="0"/>
      <w:marRight w:val="0"/>
      <w:marTop w:val="0"/>
      <w:marBottom w:val="0"/>
      <w:divBdr>
        <w:top w:val="none" w:sz="0" w:space="0" w:color="auto"/>
        <w:left w:val="none" w:sz="0" w:space="0" w:color="auto"/>
        <w:bottom w:val="none" w:sz="0" w:space="0" w:color="auto"/>
        <w:right w:val="none" w:sz="0" w:space="0" w:color="auto"/>
      </w:divBdr>
    </w:div>
    <w:div w:id="775909356">
      <w:bodyDiv w:val="1"/>
      <w:marLeft w:val="0"/>
      <w:marRight w:val="0"/>
      <w:marTop w:val="0"/>
      <w:marBottom w:val="0"/>
      <w:divBdr>
        <w:top w:val="none" w:sz="0" w:space="0" w:color="auto"/>
        <w:left w:val="none" w:sz="0" w:space="0" w:color="auto"/>
        <w:bottom w:val="none" w:sz="0" w:space="0" w:color="auto"/>
        <w:right w:val="none" w:sz="0" w:space="0" w:color="auto"/>
      </w:divBdr>
    </w:div>
    <w:div w:id="809790814">
      <w:bodyDiv w:val="1"/>
      <w:marLeft w:val="0"/>
      <w:marRight w:val="0"/>
      <w:marTop w:val="0"/>
      <w:marBottom w:val="0"/>
      <w:divBdr>
        <w:top w:val="none" w:sz="0" w:space="0" w:color="auto"/>
        <w:left w:val="none" w:sz="0" w:space="0" w:color="auto"/>
        <w:bottom w:val="none" w:sz="0" w:space="0" w:color="auto"/>
        <w:right w:val="none" w:sz="0" w:space="0" w:color="auto"/>
      </w:divBdr>
    </w:div>
    <w:div w:id="813376374">
      <w:bodyDiv w:val="1"/>
      <w:marLeft w:val="0"/>
      <w:marRight w:val="0"/>
      <w:marTop w:val="0"/>
      <w:marBottom w:val="0"/>
      <w:divBdr>
        <w:top w:val="none" w:sz="0" w:space="0" w:color="auto"/>
        <w:left w:val="none" w:sz="0" w:space="0" w:color="auto"/>
        <w:bottom w:val="none" w:sz="0" w:space="0" w:color="auto"/>
        <w:right w:val="none" w:sz="0" w:space="0" w:color="auto"/>
      </w:divBdr>
      <w:divsChild>
        <w:div w:id="1944651748">
          <w:marLeft w:val="0"/>
          <w:marRight w:val="0"/>
          <w:marTop w:val="0"/>
          <w:marBottom w:val="0"/>
          <w:divBdr>
            <w:top w:val="none" w:sz="0" w:space="0" w:color="auto"/>
            <w:left w:val="none" w:sz="0" w:space="0" w:color="auto"/>
            <w:bottom w:val="none" w:sz="0" w:space="0" w:color="auto"/>
            <w:right w:val="none" w:sz="0" w:space="0" w:color="auto"/>
          </w:divBdr>
          <w:divsChild>
            <w:div w:id="192573104">
              <w:marLeft w:val="0"/>
              <w:marRight w:val="0"/>
              <w:marTop w:val="0"/>
              <w:marBottom w:val="0"/>
              <w:divBdr>
                <w:top w:val="none" w:sz="0" w:space="0" w:color="auto"/>
                <w:left w:val="none" w:sz="0" w:space="0" w:color="auto"/>
                <w:bottom w:val="none" w:sz="0" w:space="0" w:color="auto"/>
                <w:right w:val="none" w:sz="0" w:space="0" w:color="auto"/>
              </w:divBdr>
              <w:divsChild>
                <w:div w:id="547089">
                  <w:marLeft w:val="0"/>
                  <w:marRight w:val="0"/>
                  <w:marTop w:val="0"/>
                  <w:marBottom w:val="0"/>
                  <w:divBdr>
                    <w:top w:val="none" w:sz="0" w:space="0" w:color="auto"/>
                    <w:left w:val="none" w:sz="0" w:space="0" w:color="auto"/>
                    <w:bottom w:val="none" w:sz="0" w:space="0" w:color="auto"/>
                    <w:right w:val="none" w:sz="0" w:space="0" w:color="auto"/>
                  </w:divBdr>
                  <w:divsChild>
                    <w:div w:id="192811950">
                      <w:marLeft w:val="0"/>
                      <w:marRight w:val="0"/>
                      <w:marTop w:val="0"/>
                      <w:marBottom w:val="0"/>
                      <w:divBdr>
                        <w:top w:val="single" w:sz="6" w:space="0" w:color="E1E3E6"/>
                        <w:left w:val="single" w:sz="6" w:space="0" w:color="E1E3E6"/>
                        <w:bottom w:val="single" w:sz="6" w:space="0" w:color="E1E3E6"/>
                        <w:right w:val="single" w:sz="6" w:space="0" w:color="E1E3E6"/>
                      </w:divBdr>
                      <w:divsChild>
                        <w:div w:id="293802319">
                          <w:marLeft w:val="0"/>
                          <w:marRight w:val="0"/>
                          <w:marTop w:val="0"/>
                          <w:marBottom w:val="0"/>
                          <w:divBdr>
                            <w:top w:val="none" w:sz="0" w:space="0" w:color="auto"/>
                            <w:left w:val="none" w:sz="0" w:space="0" w:color="auto"/>
                            <w:bottom w:val="none" w:sz="0" w:space="0" w:color="auto"/>
                            <w:right w:val="none" w:sz="0" w:space="0" w:color="auto"/>
                          </w:divBdr>
                          <w:divsChild>
                            <w:div w:id="838277642">
                              <w:marLeft w:val="0"/>
                              <w:marRight w:val="0"/>
                              <w:marTop w:val="0"/>
                              <w:marBottom w:val="0"/>
                              <w:divBdr>
                                <w:top w:val="none" w:sz="0" w:space="0" w:color="auto"/>
                                <w:left w:val="none" w:sz="0" w:space="0" w:color="auto"/>
                                <w:bottom w:val="none" w:sz="0" w:space="0" w:color="auto"/>
                                <w:right w:val="none" w:sz="0" w:space="0" w:color="auto"/>
                              </w:divBdr>
                              <w:divsChild>
                                <w:div w:id="1822380456">
                                  <w:marLeft w:val="0"/>
                                  <w:marRight w:val="0"/>
                                  <w:marTop w:val="0"/>
                                  <w:marBottom w:val="0"/>
                                  <w:divBdr>
                                    <w:top w:val="none" w:sz="0" w:space="0" w:color="auto"/>
                                    <w:left w:val="none" w:sz="0" w:space="0" w:color="auto"/>
                                    <w:bottom w:val="none" w:sz="0" w:space="0" w:color="auto"/>
                                    <w:right w:val="none" w:sz="0" w:space="0" w:color="auto"/>
                                  </w:divBdr>
                                  <w:divsChild>
                                    <w:div w:id="13858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7379576">
      <w:bodyDiv w:val="1"/>
      <w:marLeft w:val="0"/>
      <w:marRight w:val="0"/>
      <w:marTop w:val="0"/>
      <w:marBottom w:val="0"/>
      <w:divBdr>
        <w:top w:val="none" w:sz="0" w:space="0" w:color="auto"/>
        <w:left w:val="none" w:sz="0" w:space="0" w:color="auto"/>
        <w:bottom w:val="none" w:sz="0" w:space="0" w:color="auto"/>
        <w:right w:val="none" w:sz="0" w:space="0" w:color="auto"/>
      </w:divBdr>
    </w:div>
    <w:div w:id="847906215">
      <w:bodyDiv w:val="1"/>
      <w:marLeft w:val="0"/>
      <w:marRight w:val="0"/>
      <w:marTop w:val="0"/>
      <w:marBottom w:val="0"/>
      <w:divBdr>
        <w:top w:val="none" w:sz="0" w:space="0" w:color="auto"/>
        <w:left w:val="none" w:sz="0" w:space="0" w:color="auto"/>
        <w:bottom w:val="none" w:sz="0" w:space="0" w:color="auto"/>
        <w:right w:val="none" w:sz="0" w:space="0" w:color="auto"/>
      </w:divBdr>
    </w:div>
    <w:div w:id="865404763">
      <w:bodyDiv w:val="1"/>
      <w:marLeft w:val="0"/>
      <w:marRight w:val="0"/>
      <w:marTop w:val="0"/>
      <w:marBottom w:val="0"/>
      <w:divBdr>
        <w:top w:val="none" w:sz="0" w:space="0" w:color="auto"/>
        <w:left w:val="none" w:sz="0" w:space="0" w:color="auto"/>
        <w:bottom w:val="none" w:sz="0" w:space="0" w:color="auto"/>
        <w:right w:val="none" w:sz="0" w:space="0" w:color="auto"/>
      </w:divBdr>
      <w:divsChild>
        <w:div w:id="1813790836">
          <w:marLeft w:val="0"/>
          <w:marRight w:val="0"/>
          <w:marTop w:val="0"/>
          <w:marBottom w:val="0"/>
          <w:divBdr>
            <w:top w:val="none" w:sz="0" w:space="0" w:color="auto"/>
            <w:left w:val="none" w:sz="0" w:space="0" w:color="auto"/>
            <w:bottom w:val="none" w:sz="0" w:space="0" w:color="auto"/>
            <w:right w:val="none" w:sz="0" w:space="0" w:color="auto"/>
          </w:divBdr>
          <w:divsChild>
            <w:div w:id="357238617">
              <w:marLeft w:val="0"/>
              <w:marRight w:val="0"/>
              <w:marTop w:val="0"/>
              <w:marBottom w:val="0"/>
              <w:divBdr>
                <w:top w:val="none" w:sz="0" w:space="0" w:color="auto"/>
                <w:left w:val="none" w:sz="0" w:space="0" w:color="auto"/>
                <w:bottom w:val="none" w:sz="0" w:space="0" w:color="auto"/>
                <w:right w:val="none" w:sz="0" w:space="0" w:color="auto"/>
              </w:divBdr>
              <w:divsChild>
                <w:div w:id="556628751">
                  <w:marLeft w:val="0"/>
                  <w:marRight w:val="0"/>
                  <w:marTop w:val="0"/>
                  <w:marBottom w:val="0"/>
                  <w:divBdr>
                    <w:top w:val="none" w:sz="0" w:space="0" w:color="auto"/>
                    <w:left w:val="none" w:sz="0" w:space="0" w:color="auto"/>
                    <w:bottom w:val="none" w:sz="0" w:space="0" w:color="auto"/>
                    <w:right w:val="none" w:sz="0" w:space="0" w:color="auto"/>
                  </w:divBdr>
                  <w:divsChild>
                    <w:div w:id="55700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926535">
      <w:bodyDiv w:val="1"/>
      <w:marLeft w:val="0"/>
      <w:marRight w:val="0"/>
      <w:marTop w:val="0"/>
      <w:marBottom w:val="0"/>
      <w:divBdr>
        <w:top w:val="none" w:sz="0" w:space="0" w:color="auto"/>
        <w:left w:val="none" w:sz="0" w:space="0" w:color="auto"/>
        <w:bottom w:val="none" w:sz="0" w:space="0" w:color="auto"/>
        <w:right w:val="none" w:sz="0" w:space="0" w:color="auto"/>
      </w:divBdr>
    </w:div>
    <w:div w:id="1054086871">
      <w:bodyDiv w:val="1"/>
      <w:marLeft w:val="0"/>
      <w:marRight w:val="0"/>
      <w:marTop w:val="0"/>
      <w:marBottom w:val="0"/>
      <w:divBdr>
        <w:top w:val="none" w:sz="0" w:space="0" w:color="auto"/>
        <w:left w:val="none" w:sz="0" w:space="0" w:color="auto"/>
        <w:bottom w:val="none" w:sz="0" w:space="0" w:color="auto"/>
        <w:right w:val="none" w:sz="0" w:space="0" w:color="auto"/>
      </w:divBdr>
    </w:div>
    <w:div w:id="1170289121">
      <w:bodyDiv w:val="1"/>
      <w:marLeft w:val="0"/>
      <w:marRight w:val="0"/>
      <w:marTop w:val="0"/>
      <w:marBottom w:val="0"/>
      <w:divBdr>
        <w:top w:val="none" w:sz="0" w:space="0" w:color="auto"/>
        <w:left w:val="none" w:sz="0" w:space="0" w:color="auto"/>
        <w:bottom w:val="none" w:sz="0" w:space="0" w:color="auto"/>
        <w:right w:val="none" w:sz="0" w:space="0" w:color="auto"/>
      </w:divBdr>
    </w:div>
    <w:div w:id="1255626972">
      <w:bodyDiv w:val="1"/>
      <w:marLeft w:val="0"/>
      <w:marRight w:val="0"/>
      <w:marTop w:val="0"/>
      <w:marBottom w:val="0"/>
      <w:divBdr>
        <w:top w:val="none" w:sz="0" w:space="0" w:color="auto"/>
        <w:left w:val="none" w:sz="0" w:space="0" w:color="auto"/>
        <w:bottom w:val="none" w:sz="0" w:space="0" w:color="auto"/>
        <w:right w:val="none" w:sz="0" w:space="0" w:color="auto"/>
      </w:divBdr>
    </w:div>
    <w:div w:id="1283851114">
      <w:bodyDiv w:val="1"/>
      <w:marLeft w:val="0"/>
      <w:marRight w:val="0"/>
      <w:marTop w:val="0"/>
      <w:marBottom w:val="0"/>
      <w:divBdr>
        <w:top w:val="none" w:sz="0" w:space="0" w:color="auto"/>
        <w:left w:val="none" w:sz="0" w:space="0" w:color="auto"/>
        <w:bottom w:val="none" w:sz="0" w:space="0" w:color="auto"/>
        <w:right w:val="none" w:sz="0" w:space="0" w:color="auto"/>
      </w:divBdr>
    </w:div>
    <w:div w:id="1347097663">
      <w:bodyDiv w:val="1"/>
      <w:marLeft w:val="0"/>
      <w:marRight w:val="0"/>
      <w:marTop w:val="0"/>
      <w:marBottom w:val="0"/>
      <w:divBdr>
        <w:top w:val="none" w:sz="0" w:space="0" w:color="auto"/>
        <w:left w:val="none" w:sz="0" w:space="0" w:color="auto"/>
        <w:bottom w:val="none" w:sz="0" w:space="0" w:color="auto"/>
        <w:right w:val="none" w:sz="0" w:space="0" w:color="auto"/>
      </w:divBdr>
    </w:div>
    <w:div w:id="1355498821">
      <w:bodyDiv w:val="1"/>
      <w:marLeft w:val="0"/>
      <w:marRight w:val="0"/>
      <w:marTop w:val="0"/>
      <w:marBottom w:val="0"/>
      <w:divBdr>
        <w:top w:val="none" w:sz="0" w:space="0" w:color="auto"/>
        <w:left w:val="none" w:sz="0" w:space="0" w:color="auto"/>
        <w:bottom w:val="none" w:sz="0" w:space="0" w:color="auto"/>
        <w:right w:val="none" w:sz="0" w:space="0" w:color="auto"/>
      </w:divBdr>
    </w:div>
    <w:div w:id="1366061260">
      <w:bodyDiv w:val="1"/>
      <w:marLeft w:val="0"/>
      <w:marRight w:val="0"/>
      <w:marTop w:val="0"/>
      <w:marBottom w:val="0"/>
      <w:divBdr>
        <w:top w:val="none" w:sz="0" w:space="0" w:color="auto"/>
        <w:left w:val="none" w:sz="0" w:space="0" w:color="auto"/>
        <w:bottom w:val="none" w:sz="0" w:space="0" w:color="auto"/>
        <w:right w:val="none" w:sz="0" w:space="0" w:color="auto"/>
      </w:divBdr>
    </w:div>
    <w:div w:id="1481457771">
      <w:bodyDiv w:val="1"/>
      <w:marLeft w:val="0"/>
      <w:marRight w:val="0"/>
      <w:marTop w:val="0"/>
      <w:marBottom w:val="0"/>
      <w:divBdr>
        <w:top w:val="none" w:sz="0" w:space="0" w:color="auto"/>
        <w:left w:val="none" w:sz="0" w:space="0" w:color="auto"/>
        <w:bottom w:val="none" w:sz="0" w:space="0" w:color="auto"/>
        <w:right w:val="none" w:sz="0" w:space="0" w:color="auto"/>
      </w:divBdr>
    </w:div>
    <w:div w:id="1506824695">
      <w:bodyDiv w:val="1"/>
      <w:marLeft w:val="0"/>
      <w:marRight w:val="0"/>
      <w:marTop w:val="0"/>
      <w:marBottom w:val="0"/>
      <w:divBdr>
        <w:top w:val="none" w:sz="0" w:space="0" w:color="auto"/>
        <w:left w:val="none" w:sz="0" w:space="0" w:color="auto"/>
        <w:bottom w:val="none" w:sz="0" w:space="0" w:color="auto"/>
        <w:right w:val="none" w:sz="0" w:space="0" w:color="auto"/>
      </w:divBdr>
    </w:div>
    <w:div w:id="1562055398">
      <w:bodyDiv w:val="1"/>
      <w:marLeft w:val="0"/>
      <w:marRight w:val="0"/>
      <w:marTop w:val="0"/>
      <w:marBottom w:val="0"/>
      <w:divBdr>
        <w:top w:val="none" w:sz="0" w:space="0" w:color="auto"/>
        <w:left w:val="none" w:sz="0" w:space="0" w:color="auto"/>
        <w:bottom w:val="none" w:sz="0" w:space="0" w:color="auto"/>
        <w:right w:val="none" w:sz="0" w:space="0" w:color="auto"/>
      </w:divBdr>
    </w:div>
    <w:div w:id="1611471709">
      <w:bodyDiv w:val="1"/>
      <w:marLeft w:val="0"/>
      <w:marRight w:val="0"/>
      <w:marTop w:val="0"/>
      <w:marBottom w:val="0"/>
      <w:divBdr>
        <w:top w:val="none" w:sz="0" w:space="0" w:color="auto"/>
        <w:left w:val="none" w:sz="0" w:space="0" w:color="auto"/>
        <w:bottom w:val="none" w:sz="0" w:space="0" w:color="auto"/>
        <w:right w:val="none" w:sz="0" w:space="0" w:color="auto"/>
      </w:divBdr>
    </w:div>
    <w:div w:id="1617518830">
      <w:bodyDiv w:val="1"/>
      <w:marLeft w:val="0"/>
      <w:marRight w:val="0"/>
      <w:marTop w:val="0"/>
      <w:marBottom w:val="0"/>
      <w:divBdr>
        <w:top w:val="none" w:sz="0" w:space="0" w:color="auto"/>
        <w:left w:val="none" w:sz="0" w:space="0" w:color="auto"/>
        <w:bottom w:val="none" w:sz="0" w:space="0" w:color="auto"/>
        <w:right w:val="none" w:sz="0" w:space="0" w:color="auto"/>
      </w:divBdr>
    </w:div>
    <w:div w:id="1956522883">
      <w:bodyDiv w:val="1"/>
      <w:marLeft w:val="0"/>
      <w:marRight w:val="0"/>
      <w:marTop w:val="0"/>
      <w:marBottom w:val="0"/>
      <w:divBdr>
        <w:top w:val="none" w:sz="0" w:space="0" w:color="auto"/>
        <w:left w:val="none" w:sz="0" w:space="0" w:color="auto"/>
        <w:bottom w:val="none" w:sz="0" w:space="0" w:color="auto"/>
        <w:right w:val="none" w:sz="0" w:space="0" w:color="auto"/>
      </w:divBdr>
    </w:div>
    <w:div w:id="2039813770">
      <w:bodyDiv w:val="1"/>
      <w:marLeft w:val="0"/>
      <w:marRight w:val="0"/>
      <w:marTop w:val="0"/>
      <w:marBottom w:val="0"/>
      <w:divBdr>
        <w:top w:val="none" w:sz="0" w:space="0" w:color="auto"/>
        <w:left w:val="none" w:sz="0" w:space="0" w:color="auto"/>
        <w:bottom w:val="none" w:sz="0" w:space="0" w:color="auto"/>
        <w:right w:val="none" w:sz="0" w:space="0" w:color="auto"/>
      </w:divBdr>
    </w:div>
    <w:div w:id="2106683351">
      <w:bodyDiv w:val="1"/>
      <w:marLeft w:val="0"/>
      <w:marRight w:val="0"/>
      <w:marTop w:val="0"/>
      <w:marBottom w:val="0"/>
      <w:divBdr>
        <w:top w:val="none" w:sz="0" w:space="0" w:color="auto"/>
        <w:left w:val="none" w:sz="0" w:space="0" w:color="auto"/>
        <w:bottom w:val="none" w:sz="0" w:space="0" w:color="auto"/>
        <w:right w:val="none" w:sz="0" w:space="0" w:color="auto"/>
      </w:divBdr>
    </w:div>
    <w:div w:id="2130053101">
      <w:bodyDiv w:val="1"/>
      <w:marLeft w:val="0"/>
      <w:marRight w:val="0"/>
      <w:marTop w:val="0"/>
      <w:marBottom w:val="0"/>
      <w:divBdr>
        <w:top w:val="none" w:sz="0" w:space="0" w:color="auto"/>
        <w:left w:val="none" w:sz="0" w:space="0" w:color="auto"/>
        <w:bottom w:val="none" w:sz="0" w:space="0" w:color="auto"/>
        <w:right w:val="none" w:sz="0" w:space="0" w:color="auto"/>
      </w:divBdr>
    </w:div>
    <w:div w:id="214369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grants@portphillip.vic.gov.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_rels/header3.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EE2A1-2A2B-4B67-A4C9-CF8461954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3131</Words>
  <Characters>18414</Characters>
  <Application>Microsoft Office Word</Application>
  <DocSecurity>0</DocSecurity>
  <Lines>428</Lines>
  <Paragraphs>234</Paragraphs>
  <ScaleCrop>false</ScaleCrop>
  <HeadingPairs>
    <vt:vector size="2" baseType="variant">
      <vt:variant>
        <vt:lpstr>Title</vt:lpstr>
      </vt:variant>
      <vt:variant>
        <vt:i4>1</vt:i4>
      </vt:variant>
    </vt:vector>
  </HeadingPairs>
  <TitlesOfParts>
    <vt:vector size="1" baseType="lpstr">
      <vt:lpstr>CoPP Community Funding Policy</vt:lpstr>
    </vt:vector>
  </TitlesOfParts>
  <Company/>
  <LinksUpToDate>false</LinksUpToDate>
  <CharactersWithSpaces>21311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 Community Funding Policy</dc:title>
  <dc:subject/>
  <dc:creator/>
  <cp:keywords/>
  <dc:description/>
  <cp:lastModifiedBy/>
  <cp:revision>1</cp:revision>
  <dcterms:created xsi:type="dcterms:W3CDTF">2019-08-15T01:35:00Z</dcterms:created>
  <dcterms:modified xsi:type="dcterms:W3CDTF">2019-08-15T01:46:00Z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927777</vt:lpwstr>
  </property>
  <property fmtid="{D5CDD505-2E9C-101B-9397-08002B2CF9AE}" name="NXPowerLiteSettings" pid="3">
    <vt:lpwstr>C7000400038000</vt:lpwstr>
  </property>
  <property fmtid="{D5CDD505-2E9C-101B-9397-08002B2CF9AE}" name="NXPowerLiteVersion" pid="4">
    <vt:lpwstr>S8.2.2</vt:lpwstr>
  </property>
</Properties>
</file>