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43" w:rsidRDefault="00945643" w:rsidP="00465F07">
      <w:pPr>
        <w:pStyle w:val="Title"/>
      </w:pPr>
      <w:bookmarkStart w:id="0" w:name="_GoBack"/>
      <w:bookmarkEnd w:id="0"/>
      <w:r>
        <w:t>Access and Inclusion Plan</w:t>
      </w:r>
    </w:p>
    <w:p w:rsidR="003B4C10" w:rsidRDefault="003B4C10" w:rsidP="00465F07">
      <w:pPr>
        <w:pStyle w:val="Title"/>
      </w:pPr>
      <w:r>
        <w:t>Interim Status Update</w:t>
      </w:r>
    </w:p>
    <w:p w:rsidR="00964956" w:rsidRDefault="00945643" w:rsidP="00465F07">
      <w:pPr>
        <w:pStyle w:val="Title"/>
      </w:pPr>
      <w:r>
        <w:t>December 2019</w:t>
      </w:r>
      <w:r w:rsidR="00964956">
        <w:br w:type="page"/>
      </w:r>
    </w:p>
    <w:p w:rsidR="00945643" w:rsidRDefault="00945643" w:rsidP="00D968BD">
      <w:pPr>
        <w:pStyle w:val="Heading1"/>
      </w:pPr>
      <w:bookmarkStart w:id="1" w:name="_Toc10796473"/>
      <w:r>
        <w:lastRenderedPageBreak/>
        <w:t>Introduction</w:t>
      </w:r>
    </w:p>
    <w:p w:rsidR="00945643" w:rsidRPr="00D968BD" w:rsidRDefault="00945643" w:rsidP="00945643">
      <w:pPr>
        <w:rPr>
          <w:sz w:val="22"/>
        </w:rPr>
      </w:pPr>
      <w:r w:rsidRPr="00D968BD">
        <w:rPr>
          <w:sz w:val="22"/>
        </w:rPr>
        <w:t xml:space="preserve">This document is a status update on Access and Inclusion Plan actions scheduled to commence delivery in 2019. You can download a copy of the </w:t>
      </w:r>
      <w:hyperlink r:id="rId7" w:history="1">
        <w:r w:rsidRPr="00D968BD">
          <w:rPr>
            <w:rStyle w:val="Hyperlink"/>
            <w:sz w:val="22"/>
          </w:rPr>
          <w:t>Access and Inclusion Plan</w:t>
        </w:r>
      </w:hyperlink>
      <w:r w:rsidRPr="00D968BD">
        <w:rPr>
          <w:sz w:val="22"/>
        </w:rPr>
        <w:t xml:space="preserve"> from our website. </w:t>
      </w:r>
    </w:p>
    <w:p w:rsidR="00945643" w:rsidRPr="00B477FA" w:rsidRDefault="00945643" w:rsidP="00945643">
      <w:pPr>
        <w:pStyle w:val="Heading2"/>
      </w:pPr>
      <w:r w:rsidRPr="00B477FA">
        <w:t>1. We are Inclusive</w:t>
      </w:r>
      <w:bookmarkEnd w:id="1"/>
    </w:p>
    <w:p w:rsidR="00945643" w:rsidRPr="00D968BD" w:rsidRDefault="00945643" w:rsidP="00945643">
      <w:pPr>
        <w:rPr>
          <w:sz w:val="22"/>
        </w:rPr>
      </w:pPr>
      <w:r w:rsidRPr="00D968BD">
        <w:rPr>
          <w:sz w:val="22"/>
        </w:rPr>
        <w:t xml:space="preserve">The table below outlines the </w:t>
      </w:r>
      <w:r w:rsidR="00D968BD" w:rsidRPr="00D968BD">
        <w:rPr>
          <w:sz w:val="22"/>
        </w:rPr>
        <w:t>status of</w:t>
      </w:r>
      <w:r w:rsidRPr="00D968BD">
        <w:rPr>
          <w:sz w:val="22"/>
        </w:rPr>
        <w:t xml:space="preserve"> </w:t>
      </w:r>
      <w:r w:rsidR="00D968BD" w:rsidRPr="00D968BD">
        <w:rPr>
          <w:sz w:val="22"/>
        </w:rPr>
        <w:t xml:space="preserve">2019 </w:t>
      </w:r>
      <w:r w:rsidRPr="00D968BD">
        <w:rPr>
          <w:sz w:val="22"/>
        </w:rPr>
        <w:t xml:space="preserve">actions </w:t>
      </w:r>
      <w:r w:rsidR="00D968BD" w:rsidRPr="00D968BD">
        <w:rPr>
          <w:sz w:val="22"/>
        </w:rPr>
        <w:t>aligned</w:t>
      </w:r>
      <w:r w:rsidRPr="00D968BD">
        <w:rPr>
          <w:sz w:val="22"/>
        </w:rPr>
        <w:t xml:space="preserve"> with the aim of fostering a community where people with disability belong.</w:t>
      </w:r>
    </w:p>
    <w:p w:rsidR="00945643" w:rsidRPr="00A47A19" w:rsidRDefault="00945643" w:rsidP="00945643">
      <w:pPr>
        <w:pStyle w:val="TableandFigureHeading"/>
        <w:spacing w:after="120"/>
        <w:rPr>
          <w:color w:val="000000" w:themeColor="text1"/>
        </w:rPr>
      </w:pPr>
      <w:bookmarkStart w:id="2" w:name="_Toc5962067"/>
      <w:r w:rsidRPr="00A47A19">
        <w:rPr>
          <w:color w:val="000000" w:themeColor="text1"/>
        </w:rPr>
        <w:t xml:space="preserve">Table </w:t>
      </w:r>
      <w:r w:rsidR="00D968BD">
        <w:rPr>
          <w:color w:val="000000" w:themeColor="text1"/>
        </w:rPr>
        <w:t>1</w:t>
      </w:r>
      <w:r w:rsidRPr="00A47A19">
        <w:rPr>
          <w:color w:val="000000" w:themeColor="text1"/>
        </w:rPr>
        <w:t>: We are inclusive</w:t>
      </w:r>
      <w:bookmarkEnd w:id="2"/>
    </w:p>
    <w:tbl>
      <w:tblPr>
        <w:tblStyle w:val="TableGrid"/>
        <w:tblW w:w="0" w:type="auto"/>
        <w:tblCellMar>
          <w:top w:w="57" w:type="dxa"/>
          <w:bottom w:w="57" w:type="dxa"/>
        </w:tblCellMar>
        <w:tblLook w:val="04A0" w:firstRow="1" w:lastRow="0" w:firstColumn="1" w:lastColumn="0" w:noHBand="0" w:noVBand="1"/>
        <w:tblCaption w:val="Table 1: We are inclusive"/>
        <w:tblDescription w:val="Table 1: We are inclusive"/>
      </w:tblPr>
      <w:tblGrid>
        <w:gridCol w:w="2972"/>
        <w:gridCol w:w="6521"/>
      </w:tblGrid>
      <w:tr w:rsidR="00945643" w:rsidTr="009945F1">
        <w:trPr>
          <w:tblHeader/>
        </w:trPr>
        <w:tc>
          <w:tcPr>
            <w:tcW w:w="2972" w:type="dxa"/>
            <w:shd w:val="clear" w:color="auto" w:fill="811620"/>
            <w:tcMar>
              <w:left w:w="57" w:type="dxa"/>
              <w:right w:w="57" w:type="dxa"/>
            </w:tcMar>
          </w:tcPr>
          <w:p w:rsidR="00945643" w:rsidRPr="00D856DA" w:rsidRDefault="00945643" w:rsidP="009945F1">
            <w:pPr>
              <w:pStyle w:val="TableandFigureHeading"/>
            </w:pPr>
            <w:r w:rsidRPr="003A7186">
              <w:t>Principle</w:t>
            </w:r>
          </w:p>
        </w:tc>
        <w:tc>
          <w:tcPr>
            <w:tcW w:w="6521" w:type="dxa"/>
            <w:shd w:val="clear" w:color="auto" w:fill="811620"/>
            <w:tcMar>
              <w:left w:w="57" w:type="dxa"/>
              <w:right w:w="57" w:type="dxa"/>
            </w:tcMar>
          </w:tcPr>
          <w:p w:rsidR="00945643" w:rsidRDefault="00945643" w:rsidP="009945F1">
            <w:pPr>
              <w:pStyle w:val="TableandFigureHeading"/>
            </w:pPr>
            <w:r w:rsidRPr="003A7186">
              <w:t>Action</w:t>
            </w:r>
          </w:p>
        </w:tc>
      </w:tr>
      <w:tr w:rsidR="00945643" w:rsidRPr="00C53189" w:rsidTr="009945F1">
        <w:tc>
          <w:tcPr>
            <w:tcW w:w="2972"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t>1.1</w:t>
            </w:r>
            <w:r w:rsidRPr="00D968BD">
              <w:rPr>
                <w:sz w:val="22"/>
                <w:szCs w:val="22"/>
              </w:rPr>
              <w:tab/>
              <w:t>People with disability have a voice in our community</w:t>
            </w:r>
          </w:p>
        </w:tc>
        <w:tc>
          <w:tcPr>
            <w:tcW w:w="6521" w:type="dxa"/>
            <w:tcMar>
              <w:left w:w="57" w:type="dxa"/>
              <w:right w:w="57" w:type="dxa"/>
            </w:tcMar>
          </w:tcPr>
          <w:p w:rsidR="00945643" w:rsidRDefault="00945643" w:rsidP="009945F1">
            <w:pPr>
              <w:pStyle w:val="TABLENORMAL0"/>
              <w:ind w:left="802" w:hanging="709"/>
              <w:rPr>
                <w:sz w:val="22"/>
                <w:szCs w:val="22"/>
              </w:rPr>
            </w:pPr>
            <w:r w:rsidRPr="00D968BD">
              <w:rPr>
                <w:sz w:val="22"/>
                <w:szCs w:val="22"/>
              </w:rPr>
              <w:t>1.1.1</w:t>
            </w:r>
            <w:r w:rsidRPr="00D968BD">
              <w:rPr>
                <w:sz w:val="22"/>
                <w:szCs w:val="22"/>
              </w:rPr>
              <w:tab/>
              <w:t>Broaden engagement and consultation with community members with disability (delivery 2019-21)</w:t>
            </w:r>
          </w:p>
          <w:p w:rsidR="00206B82" w:rsidRPr="00D968BD" w:rsidRDefault="006A042C" w:rsidP="00206B82">
            <w:pPr>
              <w:pStyle w:val="TABLENORMAL0"/>
              <w:numPr>
                <w:ilvl w:val="0"/>
                <w:numId w:val="15"/>
              </w:numPr>
              <w:rPr>
                <w:sz w:val="22"/>
                <w:szCs w:val="22"/>
              </w:rPr>
            </w:pPr>
            <w:r>
              <w:rPr>
                <w:sz w:val="22"/>
                <w:szCs w:val="22"/>
              </w:rPr>
              <w:t>In progress</w:t>
            </w:r>
            <w:r w:rsidR="00206B82">
              <w:rPr>
                <w:sz w:val="22"/>
                <w:szCs w:val="22"/>
              </w:rPr>
              <w:t>: a number of community events were organised to raise awareness of, and invite community members to participate in, celebrating and acknowledging International Day of People with Disability.</w:t>
            </w:r>
          </w:p>
          <w:p w:rsidR="00945643" w:rsidRDefault="00945643" w:rsidP="009945F1">
            <w:pPr>
              <w:pStyle w:val="TABLENORMAL0"/>
              <w:ind w:left="802" w:hanging="709"/>
              <w:rPr>
                <w:sz w:val="22"/>
                <w:szCs w:val="22"/>
              </w:rPr>
            </w:pPr>
            <w:r w:rsidRPr="00D968BD">
              <w:rPr>
                <w:sz w:val="22"/>
                <w:szCs w:val="22"/>
              </w:rPr>
              <w:t>1.1.2</w:t>
            </w:r>
            <w:r w:rsidRPr="00D968BD">
              <w:rPr>
                <w:sz w:val="22"/>
                <w:szCs w:val="22"/>
              </w:rPr>
              <w:tab/>
              <w:t>Provide equitable participation opportunities in civic life for community members with disability (delivery 2019)</w:t>
            </w:r>
          </w:p>
          <w:p w:rsidR="001E4399" w:rsidRPr="00D968BD" w:rsidRDefault="00402736" w:rsidP="001E4399">
            <w:pPr>
              <w:pStyle w:val="TABLENORMAL0"/>
              <w:numPr>
                <w:ilvl w:val="0"/>
                <w:numId w:val="14"/>
              </w:numPr>
              <w:rPr>
                <w:sz w:val="22"/>
                <w:szCs w:val="22"/>
              </w:rPr>
            </w:pPr>
            <w:r>
              <w:rPr>
                <w:sz w:val="22"/>
                <w:szCs w:val="22"/>
              </w:rPr>
              <w:t xml:space="preserve">Completed: </w:t>
            </w:r>
            <w:r w:rsidR="001E4399" w:rsidRPr="008428B6">
              <w:rPr>
                <w:sz w:val="22"/>
                <w:szCs w:val="22"/>
              </w:rPr>
              <w:t>Meeting Procedure Local Law includes the following objective: '(4) Ensure participation in proceedings is accessible and balanced with Council’s primary decision making role;'</w:t>
            </w:r>
            <w:r>
              <w:rPr>
                <w:sz w:val="22"/>
                <w:szCs w:val="22"/>
              </w:rPr>
              <w:t xml:space="preserve"> (a</w:t>
            </w:r>
            <w:r w:rsidRPr="008428B6">
              <w:rPr>
                <w:sz w:val="22"/>
                <w:szCs w:val="22"/>
              </w:rPr>
              <w:t>doption</w:t>
            </w:r>
            <w:r w:rsidR="00B94D95">
              <w:rPr>
                <w:sz w:val="22"/>
                <w:szCs w:val="22"/>
              </w:rPr>
              <w:t xml:space="preserve"> of document</w:t>
            </w:r>
            <w:r w:rsidRPr="008428B6">
              <w:rPr>
                <w:sz w:val="22"/>
                <w:szCs w:val="22"/>
              </w:rPr>
              <w:t xml:space="preserve"> at the 18</w:t>
            </w:r>
            <w:r>
              <w:rPr>
                <w:sz w:val="22"/>
                <w:szCs w:val="22"/>
              </w:rPr>
              <w:t xml:space="preserve"> September 2019 Council meeting)</w:t>
            </w:r>
            <w:r w:rsidR="001E4399" w:rsidRPr="008428B6">
              <w:rPr>
                <w:sz w:val="22"/>
                <w:szCs w:val="22"/>
              </w:rPr>
              <w:t xml:space="preserve">. </w:t>
            </w:r>
          </w:p>
        </w:tc>
      </w:tr>
      <w:tr w:rsidR="00945643" w:rsidRPr="00C53189" w:rsidTr="009945F1">
        <w:tc>
          <w:tcPr>
            <w:tcW w:w="2972"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t xml:space="preserve">1.2 </w:t>
            </w:r>
            <w:r w:rsidRPr="00D968BD">
              <w:rPr>
                <w:sz w:val="22"/>
                <w:szCs w:val="22"/>
              </w:rPr>
              <w:tab/>
              <w:t>People with disability can equitably participate in community events and activities</w:t>
            </w:r>
          </w:p>
        </w:tc>
        <w:tc>
          <w:tcPr>
            <w:tcW w:w="6521" w:type="dxa"/>
            <w:tcMar>
              <w:left w:w="57" w:type="dxa"/>
              <w:right w:w="57" w:type="dxa"/>
            </w:tcMar>
          </w:tcPr>
          <w:p w:rsidR="00945643" w:rsidRDefault="00945643" w:rsidP="009945F1">
            <w:pPr>
              <w:pStyle w:val="TABLENORMAL0"/>
              <w:ind w:left="802" w:hanging="709"/>
              <w:rPr>
                <w:sz w:val="22"/>
                <w:szCs w:val="22"/>
              </w:rPr>
            </w:pPr>
            <w:r w:rsidRPr="00D968BD">
              <w:rPr>
                <w:sz w:val="22"/>
                <w:szCs w:val="22"/>
              </w:rPr>
              <w:t>1.2.1</w:t>
            </w:r>
            <w:r w:rsidRPr="00D968BD">
              <w:rPr>
                <w:sz w:val="22"/>
                <w:szCs w:val="22"/>
              </w:rPr>
              <w:tab/>
              <w:t>Initiatives and events related to sustainability are routinely assessed to ensure equitable access and inclusion (delivery 2019)</w:t>
            </w:r>
          </w:p>
          <w:p w:rsidR="00206B82" w:rsidRDefault="005F409C" w:rsidP="00206B82">
            <w:pPr>
              <w:pStyle w:val="TABLENORMAL0"/>
              <w:numPr>
                <w:ilvl w:val="0"/>
                <w:numId w:val="14"/>
              </w:numPr>
              <w:rPr>
                <w:sz w:val="22"/>
                <w:szCs w:val="22"/>
              </w:rPr>
            </w:pPr>
            <w:r>
              <w:rPr>
                <w:sz w:val="22"/>
                <w:szCs w:val="22"/>
              </w:rPr>
              <w:t>Completed:</w:t>
            </w:r>
          </w:p>
          <w:p w:rsidR="00206B82" w:rsidRPr="005F409C" w:rsidRDefault="00206B82" w:rsidP="00206B82">
            <w:pPr>
              <w:pStyle w:val="TABLENORMAL0"/>
              <w:numPr>
                <w:ilvl w:val="1"/>
                <w:numId w:val="14"/>
              </w:numPr>
              <w:rPr>
                <w:sz w:val="22"/>
                <w:szCs w:val="22"/>
              </w:rPr>
            </w:pPr>
            <w:r w:rsidRPr="005F409C">
              <w:rPr>
                <w:sz w:val="22"/>
                <w:szCs w:val="22"/>
              </w:rPr>
              <w:t xml:space="preserve">Accessibility checklist has been </w:t>
            </w:r>
            <w:r w:rsidR="005F409C" w:rsidRPr="005F409C">
              <w:rPr>
                <w:sz w:val="22"/>
                <w:szCs w:val="22"/>
              </w:rPr>
              <w:t>incorporated</w:t>
            </w:r>
            <w:r w:rsidRPr="005F409C">
              <w:rPr>
                <w:sz w:val="22"/>
                <w:szCs w:val="22"/>
              </w:rPr>
              <w:t xml:space="preserve"> into </w:t>
            </w:r>
            <w:r w:rsidR="005F409C" w:rsidRPr="005F409C">
              <w:rPr>
                <w:sz w:val="22"/>
                <w:szCs w:val="22"/>
              </w:rPr>
              <w:t xml:space="preserve">the </w:t>
            </w:r>
            <w:r w:rsidRPr="005F409C">
              <w:rPr>
                <w:sz w:val="22"/>
                <w:szCs w:val="22"/>
              </w:rPr>
              <w:t>sustainability event checklist</w:t>
            </w:r>
            <w:r w:rsidR="007A6466">
              <w:rPr>
                <w:sz w:val="22"/>
                <w:szCs w:val="22"/>
              </w:rPr>
              <w:t>.</w:t>
            </w:r>
          </w:p>
          <w:p w:rsidR="00206B82" w:rsidRPr="005F409C" w:rsidRDefault="00206B82" w:rsidP="00206B82">
            <w:pPr>
              <w:pStyle w:val="TABLENORMAL0"/>
              <w:numPr>
                <w:ilvl w:val="1"/>
                <w:numId w:val="14"/>
              </w:numPr>
              <w:rPr>
                <w:sz w:val="22"/>
                <w:szCs w:val="22"/>
              </w:rPr>
            </w:pPr>
            <w:r w:rsidRPr="005F409C">
              <w:rPr>
                <w:sz w:val="22"/>
                <w:szCs w:val="22"/>
              </w:rPr>
              <w:t xml:space="preserve">Sustainable Port Phillip Website </w:t>
            </w:r>
            <w:r w:rsidR="005F409C" w:rsidRPr="005F409C">
              <w:rPr>
                <w:sz w:val="22"/>
                <w:szCs w:val="22"/>
              </w:rPr>
              <w:t>has been</w:t>
            </w:r>
            <w:r w:rsidRPr="005F409C">
              <w:rPr>
                <w:sz w:val="22"/>
                <w:szCs w:val="22"/>
              </w:rPr>
              <w:t xml:space="preserve"> reviewed to ensure that it continues to meet accessibility standards.</w:t>
            </w:r>
          </w:p>
          <w:p w:rsidR="00945643" w:rsidRDefault="00945643" w:rsidP="00945643">
            <w:pPr>
              <w:pStyle w:val="TABLENORMAL0"/>
              <w:ind w:left="802" w:hanging="709"/>
              <w:rPr>
                <w:sz w:val="22"/>
                <w:szCs w:val="22"/>
              </w:rPr>
            </w:pPr>
            <w:r w:rsidRPr="00D968BD">
              <w:rPr>
                <w:sz w:val="22"/>
                <w:szCs w:val="22"/>
              </w:rPr>
              <w:lastRenderedPageBreak/>
              <w:t>1.2.3</w:t>
            </w:r>
            <w:r w:rsidRPr="00D968BD">
              <w:rPr>
                <w:sz w:val="22"/>
                <w:szCs w:val="22"/>
              </w:rPr>
              <w:tab/>
              <w:t>Ensure library hosted events are accessible and inclusive (delivery 2019)</w:t>
            </w:r>
          </w:p>
          <w:p w:rsidR="00BB0DCD" w:rsidRPr="00D968BD" w:rsidRDefault="00286790" w:rsidP="00BB0DCD">
            <w:pPr>
              <w:pStyle w:val="TABLENORMAL0"/>
              <w:numPr>
                <w:ilvl w:val="0"/>
                <w:numId w:val="14"/>
              </w:numPr>
              <w:rPr>
                <w:sz w:val="22"/>
                <w:szCs w:val="22"/>
              </w:rPr>
            </w:pPr>
            <w:r w:rsidRPr="00286790">
              <w:rPr>
                <w:sz w:val="22"/>
                <w:szCs w:val="22"/>
              </w:rPr>
              <w:t>Partial</w:t>
            </w:r>
            <w:r w:rsidR="001524FB" w:rsidRPr="00286790">
              <w:rPr>
                <w:sz w:val="22"/>
                <w:szCs w:val="22"/>
              </w:rPr>
              <w:t xml:space="preserve"> progress</w:t>
            </w:r>
            <w:r w:rsidR="006A042C" w:rsidRPr="00286790">
              <w:rPr>
                <w:sz w:val="22"/>
                <w:szCs w:val="22"/>
              </w:rPr>
              <w:t xml:space="preserve">. </w:t>
            </w:r>
            <w:r w:rsidR="000B6945">
              <w:rPr>
                <w:sz w:val="22"/>
                <w:szCs w:val="22"/>
              </w:rPr>
              <w:t xml:space="preserve">Inclusive events held in the week of International Day of People with Disability. </w:t>
            </w:r>
          </w:p>
        </w:tc>
      </w:tr>
      <w:tr w:rsidR="00945643" w:rsidRPr="00C53189" w:rsidTr="009945F1">
        <w:tc>
          <w:tcPr>
            <w:tcW w:w="2972" w:type="dxa"/>
            <w:tcMar>
              <w:left w:w="57" w:type="dxa"/>
              <w:right w:w="57" w:type="dxa"/>
            </w:tcMar>
          </w:tcPr>
          <w:p w:rsidR="00945643" w:rsidRPr="00D968BD" w:rsidRDefault="00945643" w:rsidP="009945F1">
            <w:pPr>
              <w:pStyle w:val="TABLENORMAL0"/>
              <w:ind w:left="507" w:hanging="425"/>
              <w:rPr>
                <w:b/>
                <w:color w:val="auto"/>
                <w:sz w:val="22"/>
                <w:szCs w:val="22"/>
              </w:rPr>
            </w:pPr>
            <w:r w:rsidRPr="00D968BD">
              <w:rPr>
                <w:sz w:val="22"/>
                <w:szCs w:val="22"/>
              </w:rPr>
              <w:lastRenderedPageBreak/>
              <w:t xml:space="preserve">1.3 </w:t>
            </w:r>
            <w:r w:rsidRPr="00D968BD">
              <w:rPr>
                <w:sz w:val="22"/>
                <w:szCs w:val="22"/>
              </w:rPr>
              <w:tab/>
              <w:t>Our communications are in accessible formats</w:t>
            </w:r>
          </w:p>
        </w:tc>
        <w:tc>
          <w:tcPr>
            <w:tcW w:w="6521" w:type="dxa"/>
            <w:tcMar>
              <w:left w:w="57" w:type="dxa"/>
              <w:right w:w="57" w:type="dxa"/>
            </w:tcMar>
          </w:tcPr>
          <w:p w:rsidR="00945643" w:rsidRDefault="00945643" w:rsidP="009945F1">
            <w:pPr>
              <w:ind w:left="802" w:hanging="709"/>
              <w:rPr>
                <w:rFonts w:eastAsia="Times New Roman"/>
                <w:bCs/>
                <w:noProof/>
                <w:color w:val="000000"/>
                <w:sz w:val="22"/>
                <w:lang w:eastAsia="en-AU"/>
              </w:rPr>
            </w:pPr>
            <w:r w:rsidRPr="00D968BD">
              <w:rPr>
                <w:sz w:val="22"/>
              </w:rPr>
              <w:t>1.3.1</w:t>
            </w:r>
            <w:r w:rsidRPr="00D968BD">
              <w:rPr>
                <w:sz w:val="22"/>
              </w:rPr>
              <w:tab/>
            </w:r>
            <w:r w:rsidRPr="00D968BD">
              <w:rPr>
                <w:rFonts w:eastAsia="Times New Roman"/>
                <w:bCs/>
                <w:noProof/>
                <w:color w:val="000000"/>
                <w:sz w:val="22"/>
                <w:lang w:eastAsia="en-AU"/>
              </w:rPr>
              <w:t>Newly created digital content will meet Web Content Accessibility Guidelines (WCAG) 2.1 AA standard (delivery 2019)</w:t>
            </w:r>
          </w:p>
          <w:p w:rsidR="00EF57FD" w:rsidRPr="00110C81" w:rsidRDefault="00EF57FD" w:rsidP="00F02475">
            <w:pPr>
              <w:pStyle w:val="ListParagraph"/>
              <w:rPr>
                <w:noProof/>
                <w:lang w:eastAsia="en-AU"/>
              </w:rPr>
            </w:pPr>
            <w:r w:rsidRPr="00110C81">
              <w:rPr>
                <w:noProof/>
                <w:lang w:eastAsia="en-AU"/>
              </w:rPr>
              <w:t>Completed. Examples of activities include:</w:t>
            </w:r>
          </w:p>
          <w:p w:rsidR="00EF57FD" w:rsidRPr="00110C81" w:rsidRDefault="00EF57FD" w:rsidP="00EF57FD">
            <w:pPr>
              <w:pStyle w:val="TABLENORMAL0"/>
              <w:numPr>
                <w:ilvl w:val="1"/>
                <w:numId w:val="14"/>
              </w:numPr>
              <w:rPr>
                <w:sz w:val="22"/>
                <w:szCs w:val="22"/>
              </w:rPr>
            </w:pPr>
            <w:r w:rsidRPr="00110C81">
              <w:rPr>
                <w:sz w:val="22"/>
                <w:szCs w:val="22"/>
              </w:rPr>
              <w:t xml:space="preserve">Routine training for new content authors, includes info on accessibility requirements for content. </w:t>
            </w:r>
          </w:p>
          <w:p w:rsidR="00EF57FD" w:rsidRPr="00110C81" w:rsidRDefault="00EF57FD" w:rsidP="00EF57FD">
            <w:pPr>
              <w:pStyle w:val="TABLENORMAL0"/>
              <w:numPr>
                <w:ilvl w:val="1"/>
                <w:numId w:val="14"/>
              </w:numPr>
              <w:rPr>
                <w:sz w:val="22"/>
                <w:szCs w:val="22"/>
              </w:rPr>
            </w:pPr>
            <w:r w:rsidRPr="00110C81">
              <w:rPr>
                <w:sz w:val="22"/>
                <w:szCs w:val="22"/>
              </w:rPr>
              <w:t>Process in place for checking content authors's website and intranet content changes in relation to accessibility</w:t>
            </w:r>
            <w:r w:rsidR="007A6466">
              <w:rPr>
                <w:sz w:val="22"/>
                <w:szCs w:val="22"/>
              </w:rPr>
              <w:t>.</w:t>
            </w:r>
          </w:p>
          <w:p w:rsidR="00EF57FD" w:rsidRPr="00110C81" w:rsidRDefault="00EF57FD" w:rsidP="00EF57FD">
            <w:pPr>
              <w:pStyle w:val="TABLENORMAL0"/>
              <w:numPr>
                <w:ilvl w:val="1"/>
                <w:numId w:val="14"/>
              </w:numPr>
              <w:rPr>
                <w:sz w:val="22"/>
                <w:szCs w:val="22"/>
              </w:rPr>
            </w:pPr>
            <w:r w:rsidRPr="00110C81">
              <w:rPr>
                <w:sz w:val="22"/>
                <w:szCs w:val="22"/>
              </w:rPr>
              <w:t xml:space="preserve">Documents for upload by council’s online communications are updated to align with accessibility. </w:t>
            </w:r>
          </w:p>
          <w:p w:rsidR="00945643" w:rsidRPr="00D968BD" w:rsidRDefault="00EF57FD" w:rsidP="00EF57FD">
            <w:pPr>
              <w:pStyle w:val="TABLENORMAL0"/>
              <w:numPr>
                <w:ilvl w:val="1"/>
                <w:numId w:val="14"/>
              </w:numPr>
              <w:rPr>
                <w:bCs w:val="0"/>
                <w:color w:val="auto"/>
                <w:kern w:val="24"/>
                <w:sz w:val="22"/>
              </w:rPr>
            </w:pPr>
            <w:r w:rsidRPr="00110C81">
              <w:rPr>
                <w:sz w:val="22"/>
                <w:szCs w:val="22"/>
              </w:rPr>
              <w:t>Information about creating accessible documents has been shared through presenting at team meetings.</w:t>
            </w:r>
          </w:p>
        </w:tc>
      </w:tr>
    </w:tbl>
    <w:p w:rsidR="00945643" w:rsidRDefault="00945643" w:rsidP="00945643">
      <w:pPr>
        <w:rPr>
          <w:lang w:val="en-US"/>
        </w:rPr>
      </w:pPr>
      <w:r>
        <w:br w:type="page"/>
      </w:r>
    </w:p>
    <w:p w:rsidR="00945643" w:rsidRDefault="00945643" w:rsidP="00945643">
      <w:pPr>
        <w:pStyle w:val="Heading2"/>
      </w:pPr>
      <w:bookmarkStart w:id="3" w:name="_2._We_are"/>
      <w:bookmarkStart w:id="4" w:name="_Toc10796474"/>
      <w:bookmarkEnd w:id="3"/>
      <w:r>
        <w:lastRenderedPageBreak/>
        <w:t>2. We are Thriving</w:t>
      </w:r>
      <w:bookmarkEnd w:id="4"/>
    </w:p>
    <w:p w:rsidR="00945643" w:rsidRPr="00D968BD" w:rsidRDefault="00945643" w:rsidP="00945643">
      <w:pPr>
        <w:rPr>
          <w:sz w:val="22"/>
        </w:rPr>
      </w:pPr>
      <w:r w:rsidRPr="00D968BD">
        <w:rPr>
          <w:sz w:val="22"/>
        </w:rPr>
        <w:t xml:space="preserve">The table below outlines the </w:t>
      </w:r>
      <w:r w:rsidR="00D968BD" w:rsidRPr="00D968BD">
        <w:rPr>
          <w:sz w:val="22"/>
        </w:rPr>
        <w:t xml:space="preserve">status of 2019 actions aligned </w:t>
      </w:r>
      <w:r w:rsidRPr="00D968BD">
        <w:rPr>
          <w:sz w:val="22"/>
        </w:rPr>
        <w:t>with the aim of fostering a liveable community.</w:t>
      </w:r>
    </w:p>
    <w:p w:rsidR="00945643" w:rsidRPr="00A47A19" w:rsidRDefault="00945643" w:rsidP="00945643">
      <w:pPr>
        <w:pStyle w:val="TableandFigureHeading"/>
        <w:spacing w:after="120"/>
        <w:rPr>
          <w:i/>
          <w:color w:val="000000" w:themeColor="text1"/>
        </w:rPr>
      </w:pPr>
      <w:bookmarkStart w:id="5" w:name="_Toc5962068"/>
      <w:r w:rsidRPr="00A47A19">
        <w:rPr>
          <w:color w:val="000000" w:themeColor="text1"/>
        </w:rPr>
        <w:t xml:space="preserve">Table </w:t>
      </w:r>
      <w:r w:rsidR="00D968BD" w:rsidRPr="00574D45">
        <w:rPr>
          <w:color w:val="000000" w:themeColor="text1"/>
        </w:rPr>
        <w:t>2</w:t>
      </w:r>
      <w:r w:rsidRPr="00A47A19">
        <w:rPr>
          <w:color w:val="000000" w:themeColor="text1"/>
        </w:rPr>
        <w:t>: We are thriving</w:t>
      </w:r>
      <w:bookmarkEnd w:id="5"/>
    </w:p>
    <w:tbl>
      <w:tblPr>
        <w:tblStyle w:val="TableGrid"/>
        <w:tblW w:w="0" w:type="auto"/>
        <w:tblCellMar>
          <w:top w:w="57" w:type="dxa"/>
          <w:bottom w:w="57" w:type="dxa"/>
        </w:tblCellMar>
        <w:tblLook w:val="04A0" w:firstRow="1" w:lastRow="0" w:firstColumn="1" w:lastColumn="0" w:noHBand="0" w:noVBand="1"/>
        <w:tblCaption w:val="Table 2: We are thriving"/>
        <w:tblDescription w:val="Table 2: We are thriving"/>
      </w:tblPr>
      <w:tblGrid>
        <w:gridCol w:w="2830"/>
        <w:gridCol w:w="6663"/>
      </w:tblGrid>
      <w:tr w:rsidR="00945643" w:rsidTr="009945F1">
        <w:trPr>
          <w:tblHeader/>
        </w:trPr>
        <w:tc>
          <w:tcPr>
            <w:tcW w:w="2830" w:type="dxa"/>
            <w:shd w:val="clear" w:color="auto" w:fill="811620"/>
            <w:tcMar>
              <w:left w:w="57" w:type="dxa"/>
              <w:right w:w="57" w:type="dxa"/>
            </w:tcMar>
          </w:tcPr>
          <w:p w:rsidR="00945643" w:rsidRPr="00D856DA" w:rsidRDefault="00945643" w:rsidP="009945F1">
            <w:pPr>
              <w:pStyle w:val="TableandFigureHeading"/>
            </w:pPr>
            <w:r w:rsidRPr="003A7186">
              <w:t>Principle</w:t>
            </w:r>
          </w:p>
        </w:tc>
        <w:tc>
          <w:tcPr>
            <w:tcW w:w="6663" w:type="dxa"/>
            <w:shd w:val="clear" w:color="auto" w:fill="811620"/>
            <w:tcMar>
              <w:left w:w="57" w:type="dxa"/>
              <w:right w:w="57" w:type="dxa"/>
            </w:tcMar>
          </w:tcPr>
          <w:p w:rsidR="00945643" w:rsidRDefault="00945643" w:rsidP="009945F1">
            <w:pPr>
              <w:pStyle w:val="TableandFigureHeading"/>
            </w:pPr>
            <w:r w:rsidRPr="003A7186">
              <w:t>Action</w:t>
            </w:r>
          </w:p>
        </w:tc>
      </w:tr>
      <w:tr w:rsidR="00945643" w:rsidRPr="00C53189" w:rsidTr="009945F1">
        <w:tc>
          <w:tcPr>
            <w:tcW w:w="2830"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t>2.1</w:t>
            </w:r>
            <w:r w:rsidRPr="00D968BD">
              <w:rPr>
                <w:sz w:val="22"/>
                <w:szCs w:val="22"/>
              </w:rPr>
              <w:tab/>
              <w:t>City Strategy and City Design encourages accessible and inclusive design practices</w:t>
            </w:r>
          </w:p>
        </w:tc>
        <w:tc>
          <w:tcPr>
            <w:tcW w:w="6663" w:type="dxa"/>
            <w:tcMar>
              <w:left w:w="57" w:type="dxa"/>
              <w:right w:w="57" w:type="dxa"/>
            </w:tcMar>
          </w:tcPr>
          <w:p w:rsidR="00945643" w:rsidRDefault="00945643" w:rsidP="009945F1">
            <w:pPr>
              <w:pStyle w:val="TABLENORMAL0"/>
              <w:ind w:left="802" w:hanging="709"/>
              <w:rPr>
                <w:sz w:val="22"/>
                <w:szCs w:val="22"/>
              </w:rPr>
            </w:pPr>
            <w:r w:rsidRPr="00D968BD">
              <w:rPr>
                <w:sz w:val="22"/>
                <w:szCs w:val="22"/>
              </w:rPr>
              <w:t xml:space="preserve">2.1.1 </w:t>
            </w:r>
            <w:r w:rsidRPr="00D968BD">
              <w:rPr>
                <w:sz w:val="22"/>
                <w:szCs w:val="22"/>
              </w:rPr>
              <w:tab/>
              <w:t>Review and update key City Strategy documentation, including planning guidelines (delivery 2019-21)</w:t>
            </w:r>
          </w:p>
          <w:p w:rsidR="00DD2F3B" w:rsidRDefault="00286790" w:rsidP="00F02475">
            <w:pPr>
              <w:pStyle w:val="ListParagraph"/>
            </w:pPr>
            <w:r>
              <w:t>In progress</w:t>
            </w:r>
            <w:r w:rsidR="00DD2F3B" w:rsidRPr="00DD2F3B">
              <w:t xml:space="preserve">: </w:t>
            </w:r>
            <w:r w:rsidR="00DD2F3B" w:rsidRPr="00DD2F3B">
              <w:rPr>
                <w:lang w:eastAsia="en-AU"/>
              </w:rPr>
              <w:t>‘A</w:t>
            </w:r>
            <w:r w:rsidR="00CA4D0E">
              <w:rPr>
                <w:lang w:eastAsia="en-AU"/>
              </w:rPr>
              <w:t xml:space="preserve">ccessible and inclusive design’ </w:t>
            </w:r>
            <w:r w:rsidR="00DD2F3B" w:rsidRPr="00DD2F3B">
              <w:rPr>
                <w:lang w:eastAsia="en-AU"/>
              </w:rPr>
              <w:t>will be addressed in the plan</w:t>
            </w:r>
            <w:r w:rsidR="00DD2F3B">
              <w:rPr>
                <w:lang w:eastAsia="en-AU"/>
              </w:rPr>
              <w:t xml:space="preserve">ning scheme review through the: </w:t>
            </w:r>
          </w:p>
          <w:p w:rsidR="00DD2F3B" w:rsidRPr="00DD2F3B" w:rsidRDefault="00DD2F3B" w:rsidP="00DD2F3B">
            <w:pPr>
              <w:pStyle w:val="TABLENORMAL0"/>
              <w:numPr>
                <w:ilvl w:val="1"/>
                <w:numId w:val="14"/>
              </w:numPr>
              <w:rPr>
                <w:sz w:val="22"/>
                <w:szCs w:val="22"/>
              </w:rPr>
            </w:pPr>
            <w:r w:rsidRPr="00DD2F3B">
              <w:rPr>
                <w:sz w:val="22"/>
                <w:szCs w:val="22"/>
              </w:rPr>
              <w:t>Municipal Planning Framework – in the Urban Design Strategic Directions</w:t>
            </w:r>
            <w:r w:rsidR="007A6466">
              <w:rPr>
                <w:sz w:val="22"/>
                <w:szCs w:val="22"/>
              </w:rPr>
              <w:t>.</w:t>
            </w:r>
          </w:p>
          <w:p w:rsidR="00DD2F3B" w:rsidRPr="00DD2F3B" w:rsidRDefault="00DD2F3B" w:rsidP="00DD2F3B">
            <w:pPr>
              <w:pStyle w:val="TABLENORMAL0"/>
              <w:numPr>
                <w:ilvl w:val="1"/>
                <w:numId w:val="14"/>
              </w:numPr>
              <w:rPr>
                <w:sz w:val="22"/>
                <w:szCs w:val="22"/>
              </w:rPr>
            </w:pPr>
            <w:r w:rsidRPr="00DD2F3B">
              <w:rPr>
                <w:sz w:val="22"/>
                <w:szCs w:val="22"/>
              </w:rPr>
              <w:t>Planning Policy Framework – in the Urban Design Clause 15.01-1L</w:t>
            </w:r>
            <w:r w:rsidR="007A6466">
              <w:rPr>
                <w:sz w:val="22"/>
                <w:szCs w:val="22"/>
              </w:rPr>
              <w:t>.</w:t>
            </w:r>
          </w:p>
          <w:p w:rsidR="00EB1EC7" w:rsidRPr="00DD2F3B" w:rsidRDefault="00DD2F3B" w:rsidP="00DD2F3B">
            <w:pPr>
              <w:pStyle w:val="TABLENORMAL0"/>
              <w:numPr>
                <w:ilvl w:val="1"/>
                <w:numId w:val="14"/>
              </w:numPr>
            </w:pPr>
            <w:r w:rsidRPr="00DD2F3B">
              <w:rPr>
                <w:sz w:val="22"/>
                <w:szCs w:val="22"/>
              </w:rPr>
              <w:t>While the translation and drafting is ongoing, accessibility may also be addressed in policy</w:t>
            </w:r>
            <w:r w:rsidR="00817D5F">
              <w:rPr>
                <w:sz w:val="22"/>
                <w:szCs w:val="22"/>
              </w:rPr>
              <w:t>.</w:t>
            </w:r>
          </w:p>
        </w:tc>
      </w:tr>
      <w:tr w:rsidR="00945643" w:rsidRPr="00C53189" w:rsidTr="009945F1">
        <w:tc>
          <w:tcPr>
            <w:tcW w:w="2830"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t>2.2</w:t>
            </w:r>
            <w:r w:rsidRPr="00D968BD">
              <w:rPr>
                <w:sz w:val="22"/>
                <w:szCs w:val="22"/>
              </w:rPr>
              <w:tab/>
              <w:t>Accessible transport is optimised across our municipality</w:t>
            </w:r>
          </w:p>
        </w:tc>
        <w:tc>
          <w:tcPr>
            <w:tcW w:w="6663" w:type="dxa"/>
            <w:tcMar>
              <w:left w:w="57" w:type="dxa"/>
              <w:right w:w="57" w:type="dxa"/>
            </w:tcMar>
          </w:tcPr>
          <w:p w:rsidR="00945643" w:rsidRDefault="00945643" w:rsidP="009945F1">
            <w:pPr>
              <w:pStyle w:val="TABLENORMAL0"/>
              <w:ind w:left="802" w:hanging="709"/>
              <w:rPr>
                <w:sz w:val="22"/>
                <w:szCs w:val="22"/>
              </w:rPr>
            </w:pPr>
            <w:r w:rsidRPr="00D968BD">
              <w:rPr>
                <w:sz w:val="22"/>
                <w:szCs w:val="22"/>
              </w:rPr>
              <w:t>2.2.1</w:t>
            </w:r>
            <w:r w:rsidRPr="00D968BD">
              <w:rPr>
                <w:sz w:val="22"/>
                <w:szCs w:val="22"/>
              </w:rPr>
              <w:tab/>
              <w:t>Review and upgrade accessible parking spaces (delivered 2019-20)</w:t>
            </w:r>
          </w:p>
          <w:p w:rsidR="00017424" w:rsidRPr="00490B70" w:rsidRDefault="00286790" w:rsidP="00F02475">
            <w:pPr>
              <w:pStyle w:val="ListParagraph"/>
            </w:pPr>
            <w:r>
              <w:t>In progress</w:t>
            </w:r>
            <w:r w:rsidR="00490B70" w:rsidRPr="00490B70">
              <w:t xml:space="preserve">: </w:t>
            </w:r>
            <w:r w:rsidR="00AE280F">
              <w:t>o</w:t>
            </w:r>
            <w:r w:rsidR="00490B70" w:rsidRPr="00490B70">
              <w:t>ne bay was upgraded in October 2019. Programming of an upgrade of four more bays by June 2020 has been completed.</w:t>
            </w:r>
          </w:p>
          <w:p w:rsidR="00017424" w:rsidRPr="00D968BD" w:rsidRDefault="00017424" w:rsidP="00017424">
            <w:pPr>
              <w:ind w:left="453"/>
            </w:pPr>
          </w:p>
          <w:p w:rsidR="00945643" w:rsidRDefault="00945643" w:rsidP="009945F1">
            <w:pPr>
              <w:pStyle w:val="TABLENORMAL0"/>
              <w:ind w:left="802" w:hanging="709"/>
              <w:rPr>
                <w:sz w:val="22"/>
                <w:szCs w:val="22"/>
              </w:rPr>
            </w:pPr>
            <w:r w:rsidRPr="00D968BD">
              <w:rPr>
                <w:sz w:val="22"/>
                <w:szCs w:val="22"/>
              </w:rPr>
              <w:t>2.2.2</w:t>
            </w:r>
            <w:r w:rsidRPr="00D968BD">
              <w:rPr>
                <w:sz w:val="22"/>
                <w:szCs w:val="22"/>
              </w:rPr>
              <w:tab/>
              <w:t>Advocate to the Victorian Government and public transport providers to increase the accessibility of tram and bus services (delivery 2019-21)</w:t>
            </w:r>
          </w:p>
          <w:p w:rsidR="00817D5F" w:rsidRDefault="00286790" w:rsidP="00F02475">
            <w:pPr>
              <w:pStyle w:val="ListParagraph"/>
            </w:pPr>
            <w:r>
              <w:t>In progress</w:t>
            </w:r>
            <w:r w:rsidR="000B6945">
              <w:t xml:space="preserve">. </w:t>
            </w:r>
          </w:p>
          <w:p w:rsidR="00017424" w:rsidRPr="00490B70" w:rsidRDefault="009A0C4A" w:rsidP="00817D5F">
            <w:pPr>
              <w:pStyle w:val="TABLENORMAL0"/>
              <w:numPr>
                <w:ilvl w:val="1"/>
                <w:numId w:val="14"/>
              </w:numPr>
            </w:pPr>
            <w:r w:rsidRPr="00817D5F">
              <w:rPr>
                <w:sz w:val="22"/>
                <w:szCs w:val="22"/>
              </w:rPr>
              <w:t>Additional n</w:t>
            </w:r>
            <w:r w:rsidR="000B6945" w:rsidRPr="00817D5F">
              <w:rPr>
                <w:sz w:val="22"/>
                <w:szCs w:val="22"/>
              </w:rPr>
              <w:t>ote</w:t>
            </w:r>
            <w:r w:rsidR="00490B70" w:rsidRPr="00817D5F">
              <w:rPr>
                <w:sz w:val="22"/>
                <w:szCs w:val="22"/>
              </w:rPr>
              <w:t>: Victorian Government has provided $3M in funding in July 2019 to the Department of Transport to develop a Tram Stop Accessibility Strategy.</w:t>
            </w:r>
          </w:p>
        </w:tc>
      </w:tr>
      <w:tr w:rsidR="00945643" w:rsidRPr="00C53189" w:rsidTr="009945F1">
        <w:tc>
          <w:tcPr>
            <w:tcW w:w="2830" w:type="dxa"/>
            <w:tcMar>
              <w:left w:w="57" w:type="dxa"/>
              <w:right w:w="57" w:type="dxa"/>
            </w:tcMar>
          </w:tcPr>
          <w:p w:rsidR="00945643" w:rsidRPr="00AE668A" w:rsidRDefault="00945643" w:rsidP="009945F1">
            <w:pPr>
              <w:pStyle w:val="TABLENORMAL0"/>
              <w:ind w:left="507" w:hanging="425"/>
              <w:rPr>
                <w:b/>
                <w:color w:val="auto"/>
                <w:sz w:val="22"/>
                <w:szCs w:val="22"/>
              </w:rPr>
            </w:pPr>
            <w:r w:rsidRPr="00AE668A">
              <w:rPr>
                <w:sz w:val="22"/>
                <w:szCs w:val="22"/>
              </w:rPr>
              <w:t>2.3</w:t>
            </w:r>
            <w:r w:rsidRPr="00AE668A">
              <w:rPr>
                <w:sz w:val="22"/>
                <w:szCs w:val="22"/>
              </w:rPr>
              <w:tab/>
              <w:t xml:space="preserve">Positively influence the availability of accessible, visitable </w:t>
            </w:r>
            <w:r w:rsidRPr="00AE668A">
              <w:rPr>
                <w:sz w:val="22"/>
                <w:szCs w:val="22"/>
              </w:rPr>
              <w:lastRenderedPageBreak/>
              <w:t>and adaptable housing</w:t>
            </w:r>
          </w:p>
        </w:tc>
        <w:tc>
          <w:tcPr>
            <w:tcW w:w="6663" w:type="dxa"/>
            <w:tcMar>
              <w:left w:w="57" w:type="dxa"/>
              <w:right w:w="57" w:type="dxa"/>
            </w:tcMar>
          </w:tcPr>
          <w:p w:rsidR="00945643" w:rsidRPr="004311FB" w:rsidRDefault="00945643" w:rsidP="009945F1">
            <w:pPr>
              <w:pStyle w:val="TABLENORMAL0"/>
              <w:ind w:left="802" w:hanging="709"/>
              <w:rPr>
                <w:sz w:val="22"/>
                <w:szCs w:val="22"/>
              </w:rPr>
            </w:pPr>
            <w:r w:rsidRPr="004311FB">
              <w:rPr>
                <w:sz w:val="22"/>
                <w:szCs w:val="22"/>
              </w:rPr>
              <w:lastRenderedPageBreak/>
              <w:t>2.3.1</w:t>
            </w:r>
            <w:r w:rsidRPr="004311FB">
              <w:rPr>
                <w:sz w:val="22"/>
                <w:szCs w:val="22"/>
              </w:rPr>
              <w:tab/>
              <w:t>Strengthen advocacy for increasing standards and requirements for accessible, visitable and adaptable housing (delivery 2019-21)</w:t>
            </w:r>
          </w:p>
          <w:p w:rsidR="00B701B6" w:rsidRPr="004311FB" w:rsidRDefault="00286790" w:rsidP="00AE668A">
            <w:pPr>
              <w:pStyle w:val="TABLENORMAL0"/>
              <w:numPr>
                <w:ilvl w:val="0"/>
                <w:numId w:val="14"/>
              </w:numPr>
              <w:rPr>
                <w:color w:val="auto"/>
                <w:kern w:val="24"/>
                <w:sz w:val="22"/>
                <w:szCs w:val="22"/>
              </w:rPr>
            </w:pPr>
            <w:r w:rsidRPr="004311FB">
              <w:rPr>
                <w:color w:val="auto"/>
                <w:kern w:val="24"/>
                <w:sz w:val="22"/>
                <w:szCs w:val="22"/>
              </w:rPr>
              <w:lastRenderedPageBreak/>
              <w:t>In progress</w:t>
            </w:r>
            <w:r w:rsidR="004311FB" w:rsidRPr="004311FB">
              <w:rPr>
                <w:color w:val="auto"/>
                <w:kern w:val="24"/>
                <w:sz w:val="22"/>
                <w:szCs w:val="22"/>
              </w:rPr>
              <w:t xml:space="preserve">: </w:t>
            </w:r>
            <w:r w:rsidR="004311FB" w:rsidRPr="004311FB">
              <w:rPr>
                <w:sz w:val="22"/>
                <w:szCs w:val="22"/>
              </w:rPr>
              <w:t>draft reference document developed to clarify the current regulatory environment, enhance consistent</w:t>
            </w:r>
            <w:r w:rsidR="004311FB" w:rsidRPr="004311FB">
              <w:t xml:space="preserve"> </w:t>
            </w:r>
            <w:r w:rsidR="004311FB" w:rsidRPr="004311FB">
              <w:rPr>
                <w:sz w:val="22"/>
                <w:szCs w:val="22"/>
              </w:rPr>
              <w:t>collaboration across council areas, and ensure consistent council policy position on accessible housing.</w:t>
            </w:r>
          </w:p>
        </w:tc>
      </w:tr>
      <w:tr w:rsidR="00945643" w:rsidRPr="00C53189" w:rsidTr="009945F1">
        <w:tc>
          <w:tcPr>
            <w:tcW w:w="2830"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lastRenderedPageBreak/>
              <w:t>2.4</w:t>
            </w:r>
            <w:r w:rsidRPr="00D968BD">
              <w:rPr>
                <w:sz w:val="22"/>
                <w:szCs w:val="22"/>
              </w:rPr>
              <w:tab/>
              <w:t>Transition to the National Disability Insurance Scheme (NDIS) is supported by our council services</w:t>
            </w:r>
          </w:p>
        </w:tc>
        <w:tc>
          <w:tcPr>
            <w:tcW w:w="6663" w:type="dxa"/>
            <w:tcMar>
              <w:left w:w="57" w:type="dxa"/>
              <w:right w:w="57" w:type="dxa"/>
            </w:tcMar>
          </w:tcPr>
          <w:p w:rsidR="00945643" w:rsidRDefault="00945643" w:rsidP="009945F1">
            <w:pPr>
              <w:pStyle w:val="TABLENORMAL0"/>
              <w:ind w:left="802" w:hanging="709"/>
              <w:rPr>
                <w:sz w:val="22"/>
                <w:szCs w:val="22"/>
              </w:rPr>
            </w:pPr>
            <w:r w:rsidRPr="00D968BD">
              <w:rPr>
                <w:sz w:val="22"/>
                <w:szCs w:val="22"/>
              </w:rPr>
              <w:t>2.4.1</w:t>
            </w:r>
            <w:r w:rsidRPr="00D968BD">
              <w:rPr>
                <w:sz w:val="22"/>
                <w:szCs w:val="22"/>
              </w:rPr>
              <w:tab/>
              <w:t>Work with the Brotherhood of St Laurence Local Area Coordinator (NDIS) to enhance community engagement and capacity building within the municipality (delivery 2019-21)</w:t>
            </w:r>
          </w:p>
          <w:p w:rsidR="00B74A65" w:rsidRPr="00A87D96" w:rsidRDefault="00286790" w:rsidP="00A87D96">
            <w:pPr>
              <w:pStyle w:val="TABLENORMAL0"/>
              <w:numPr>
                <w:ilvl w:val="0"/>
                <w:numId w:val="14"/>
              </w:numPr>
              <w:rPr>
                <w:color w:val="auto"/>
                <w:kern w:val="24"/>
                <w:sz w:val="22"/>
                <w:szCs w:val="22"/>
              </w:rPr>
            </w:pPr>
            <w:r>
              <w:rPr>
                <w:color w:val="auto"/>
                <w:kern w:val="24"/>
                <w:sz w:val="22"/>
                <w:szCs w:val="22"/>
              </w:rPr>
              <w:t>In progress</w:t>
            </w:r>
            <w:r w:rsidR="00B74A65" w:rsidRPr="00A87D96">
              <w:rPr>
                <w:color w:val="auto"/>
                <w:kern w:val="24"/>
                <w:sz w:val="22"/>
                <w:szCs w:val="22"/>
              </w:rPr>
              <w:t>. Some activities are:</w:t>
            </w:r>
          </w:p>
          <w:p w:rsidR="00EF3358" w:rsidRPr="00EF3358" w:rsidRDefault="00386629" w:rsidP="00EF3358">
            <w:pPr>
              <w:pStyle w:val="TABLENORMAL0"/>
              <w:numPr>
                <w:ilvl w:val="1"/>
                <w:numId w:val="13"/>
              </w:numPr>
              <w:rPr>
                <w:sz w:val="22"/>
                <w:szCs w:val="22"/>
              </w:rPr>
            </w:pPr>
            <w:r>
              <w:rPr>
                <w:sz w:val="22"/>
                <w:szCs w:val="22"/>
              </w:rPr>
              <w:t>Council</w:t>
            </w:r>
            <w:r w:rsidR="00EF3358" w:rsidRPr="00EF3358">
              <w:rPr>
                <w:sz w:val="22"/>
                <w:szCs w:val="22"/>
              </w:rPr>
              <w:t xml:space="preserve"> attends Bayside Peninsula Working group meetings </w:t>
            </w:r>
            <w:r w:rsidR="00855406">
              <w:rPr>
                <w:sz w:val="22"/>
                <w:szCs w:val="22"/>
              </w:rPr>
              <w:t>with the Local Area Coordinator (NDIS). T</w:t>
            </w:r>
            <w:r w:rsidR="00EF3358" w:rsidRPr="00EF3358">
              <w:rPr>
                <w:sz w:val="22"/>
                <w:szCs w:val="22"/>
              </w:rPr>
              <w:t>opics</w:t>
            </w:r>
            <w:r w:rsidR="00855406">
              <w:rPr>
                <w:sz w:val="22"/>
                <w:szCs w:val="22"/>
              </w:rPr>
              <w:t xml:space="preserve"> for discussion</w:t>
            </w:r>
            <w:r w:rsidR="00EF3358" w:rsidRPr="00EF3358">
              <w:rPr>
                <w:sz w:val="22"/>
                <w:szCs w:val="22"/>
              </w:rPr>
              <w:t xml:space="preserve"> include employment and social procurement.</w:t>
            </w:r>
          </w:p>
          <w:p w:rsidR="00EF3358" w:rsidRDefault="00EF3358" w:rsidP="00EF3358">
            <w:pPr>
              <w:pStyle w:val="TABLENORMAL0"/>
              <w:numPr>
                <w:ilvl w:val="1"/>
                <w:numId w:val="13"/>
              </w:numPr>
              <w:rPr>
                <w:sz w:val="22"/>
                <w:szCs w:val="22"/>
              </w:rPr>
            </w:pPr>
            <w:r w:rsidRPr="00EF3358">
              <w:rPr>
                <w:sz w:val="22"/>
                <w:szCs w:val="22"/>
              </w:rPr>
              <w:t xml:space="preserve">Council MetroAccess Officer has had meetings with the NDIS Linkages </w:t>
            </w:r>
            <w:r>
              <w:rPr>
                <w:sz w:val="22"/>
                <w:szCs w:val="22"/>
              </w:rPr>
              <w:t>coordinator</w:t>
            </w:r>
            <w:r w:rsidRPr="00EF3358">
              <w:rPr>
                <w:sz w:val="22"/>
                <w:szCs w:val="22"/>
              </w:rPr>
              <w:t xml:space="preserve"> in which </w:t>
            </w:r>
            <w:r>
              <w:rPr>
                <w:sz w:val="22"/>
                <w:szCs w:val="22"/>
              </w:rPr>
              <w:t xml:space="preserve">items such as </w:t>
            </w:r>
            <w:r w:rsidRPr="00EF3358">
              <w:rPr>
                <w:sz w:val="22"/>
                <w:szCs w:val="22"/>
              </w:rPr>
              <w:t xml:space="preserve">employment pathways for both NDIS participants and </w:t>
            </w:r>
            <w:r>
              <w:rPr>
                <w:sz w:val="22"/>
                <w:szCs w:val="22"/>
              </w:rPr>
              <w:t xml:space="preserve">the </w:t>
            </w:r>
            <w:r w:rsidRPr="00EF3358">
              <w:rPr>
                <w:sz w:val="22"/>
                <w:szCs w:val="22"/>
              </w:rPr>
              <w:t xml:space="preserve">broader community </w:t>
            </w:r>
            <w:r>
              <w:rPr>
                <w:sz w:val="22"/>
                <w:szCs w:val="22"/>
              </w:rPr>
              <w:t>are discussed.</w:t>
            </w:r>
          </w:p>
          <w:p w:rsidR="00B74A65" w:rsidRDefault="00B74A65" w:rsidP="00EF3358">
            <w:pPr>
              <w:pStyle w:val="TABLENORMAL0"/>
              <w:numPr>
                <w:ilvl w:val="1"/>
                <w:numId w:val="13"/>
              </w:numPr>
              <w:rPr>
                <w:sz w:val="22"/>
                <w:szCs w:val="22"/>
              </w:rPr>
            </w:pPr>
            <w:r w:rsidRPr="00B74A65">
              <w:rPr>
                <w:sz w:val="22"/>
                <w:szCs w:val="22"/>
              </w:rPr>
              <w:t>Periodic NDIS transition network meetings attended by the local area coordinator and council’s community support representative (Oct 2017 - Dec 2019)</w:t>
            </w:r>
            <w:r w:rsidR="007A6466">
              <w:rPr>
                <w:sz w:val="22"/>
                <w:szCs w:val="22"/>
              </w:rPr>
              <w:t>.</w:t>
            </w:r>
          </w:p>
          <w:p w:rsidR="00B74A65" w:rsidRPr="00B74A65" w:rsidRDefault="00B74A65" w:rsidP="00B74A65">
            <w:pPr>
              <w:pStyle w:val="TABLENORMAL0"/>
              <w:numPr>
                <w:ilvl w:val="1"/>
                <w:numId w:val="13"/>
              </w:numPr>
              <w:rPr>
                <w:sz w:val="22"/>
                <w:szCs w:val="22"/>
              </w:rPr>
            </w:pPr>
            <w:r w:rsidRPr="00B74A65">
              <w:rPr>
                <w:sz w:val="22"/>
                <w:szCs w:val="22"/>
              </w:rPr>
              <w:t>Individual client advocacy by council community support representative(s) to assist transition to the NDIS (Oct 2017 - Dec 2019)</w:t>
            </w:r>
            <w:r w:rsidR="007A6466">
              <w:rPr>
                <w:sz w:val="22"/>
                <w:szCs w:val="22"/>
              </w:rPr>
              <w:t>.</w:t>
            </w:r>
          </w:p>
        </w:tc>
      </w:tr>
      <w:tr w:rsidR="00945643" w:rsidRPr="00C53189" w:rsidTr="009945F1">
        <w:tc>
          <w:tcPr>
            <w:tcW w:w="2830"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t>2.5</w:t>
            </w:r>
            <w:r w:rsidRPr="00D968BD">
              <w:rPr>
                <w:sz w:val="22"/>
                <w:szCs w:val="22"/>
              </w:rPr>
              <w:tab/>
              <w:t>The design of our parks and open spaces considers accessibility for all</w:t>
            </w:r>
          </w:p>
        </w:tc>
        <w:tc>
          <w:tcPr>
            <w:tcW w:w="6663" w:type="dxa"/>
            <w:tcMar>
              <w:left w:w="57" w:type="dxa"/>
              <w:right w:w="57" w:type="dxa"/>
            </w:tcMar>
          </w:tcPr>
          <w:p w:rsidR="00945643" w:rsidRDefault="00945643" w:rsidP="009945F1">
            <w:pPr>
              <w:pStyle w:val="TABLENORMAL0"/>
              <w:ind w:left="802" w:hanging="709"/>
              <w:rPr>
                <w:sz w:val="22"/>
                <w:szCs w:val="22"/>
              </w:rPr>
            </w:pPr>
            <w:r w:rsidRPr="00D968BD">
              <w:rPr>
                <w:sz w:val="22"/>
                <w:szCs w:val="22"/>
              </w:rPr>
              <w:t>2.5.1</w:t>
            </w:r>
            <w:r w:rsidRPr="00D968BD">
              <w:rPr>
                <w:sz w:val="22"/>
                <w:szCs w:val="22"/>
              </w:rPr>
              <w:tab/>
              <w:t>Identify and implement accessibility improvements for public space and parks (delivery 2019-21)</w:t>
            </w:r>
          </w:p>
          <w:p w:rsidR="002275F8" w:rsidRDefault="00286790" w:rsidP="00F02475">
            <w:pPr>
              <w:pStyle w:val="ListParagraph"/>
            </w:pPr>
            <w:r>
              <w:t>In progress</w:t>
            </w:r>
            <w:r w:rsidR="002275F8">
              <w:t xml:space="preserve"> –</w:t>
            </w:r>
            <w:r w:rsidR="00EF57FD">
              <w:t xml:space="preserve"> </w:t>
            </w:r>
            <w:r w:rsidR="002275F8">
              <w:t>examples are</w:t>
            </w:r>
            <w:r w:rsidR="00D55BA4">
              <w:t>:</w:t>
            </w:r>
          </w:p>
          <w:p w:rsidR="002275F8" w:rsidRPr="00DD2F3B" w:rsidRDefault="002275F8" w:rsidP="00DD2F3B">
            <w:pPr>
              <w:pStyle w:val="TABLENORMAL0"/>
              <w:numPr>
                <w:ilvl w:val="1"/>
                <w:numId w:val="13"/>
              </w:numPr>
              <w:rPr>
                <w:sz w:val="22"/>
                <w:szCs w:val="22"/>
              </w:rPr>
            </w:pPr>
            <w:r w:rsidRPr="00DD2F3B">
              <w:rPr>
                <w:sz w:val="22"/>
                <w:szCs w:val="22"/>
              </w:rPr>
              <w:t>Accessibility improvements at Alma park (part of the construction of the Alma Park Stormwater harvesting system)</w:t>
            </w:r>
            <w:r w:rsidR="007A6466">
              <w:rPr>
                <w:sz w:val="22"/>
                <w:szCs w:val="22"/>
              </w:rPr>
              <w:t>.</w:t>
            </w:r>
            <w:r w:rsidRPr="00DD2F3B">
              <w:rPr>
                <w:sz w:val="22"/>
                <w:szCs w:val="22"/>
              </w:rPr>
              <w:t xml:space="preserve"> </w:t>
            </w:r>
          </w:p>
          <w:p w:rsidR="002275F8" w:rsidRPr="00D968BD" w:rsidRDefault="002275F8" w:rsidP="00DD2F3B">
            <w:pPr>
              <w:pStyle w:val="TABLENORMAL0"/>
              <w:numPr>
                <w:ilvl w:val="1"/>
                <w:numId w:val="13"/>
              </w:numPr>
            </w:pPr>
            <w:r w:rsidRPr="00DD2F3B">
              <w:rPr>
                <w:sz w:val="22"/>
                <w:szCs w:val="22"/>
              </w:rPr>
              <w:t>Accessibility improvement for access to the lawn at O'Donnell Gardens</w:t>
            </w:r>
            <w:r w:rsidR="007A6466">
              <w:rPr>
                <w:sz w:val="22"/>
                <w:szCs w:val="22"/>
              </w:rPr>
              <w:t>.</w:t>
            </w:r>
          </w:p>
        </w:tc>
      </w:tr>
      <w:tr w:rsidR="00945643" w:rsidRPr="00C53189" w:rsidTr="009945F1">
        <w:tc>
          <w:tcPr>
            <w:tcW w:w="2830" w:type="dxa"/>
            <w:tcMar>
              <w:left w:w="57" w:type="dxa"/>
              <w:right w:w="57" w:type="dxa"/>
            </w:tcMar>
          </w:tcPr>
          <w:p w:rsidR="00945643" w:rsidRPr="00D968BD" w:rsidRDefault="00945643" w:rsidP="009945F1">
            <w:pPr>
              <w:pStyle w:val="TABLENORMAL0"/>
              <w:ind w:left="507" w:hanging="425"/>
              <w:rPr>
                <w:sz w:val="22"/>
                <w:szCs w:val="22"/>
              </w:rPr>
            </w:pPr>
            <w:r w:rsidRPr="00D968BD">
              <w:rPr>
                <w:sz w:val="22"/>
                <w:szCs w:val="22"/>
              </w:rPr>
              <w:lastRenderedPageBreak/>
              <w:t>2.6</w:t>
            </w:r>
            <w:r w:rsidRPr="00D968BD">
              <w:rPr>
                <w:sz w:val="22"/>
                <w:szCs w:val="22"/>
              </w:rPr>
              <w:tab/>
              <w:t>Accessibility is included in our place-making activities</w:t>
            </w:r>
          </w:p>
        </w:tc>
        <w:tc>
          <w:tcPr>
            <w:tcW w:w="6663" w:type="dxa"/>
            <w:tcMar>
              <w:left w:w="57" w:type="dxa"/>
              <w:right w:w="57" w:type="dxa"/>
            </w:tcMar>
          </w:tcPr>
          <w:p w:rsidR="00945643" w:rsidRDefault="00945643" w:rsidP="009945F1">
            <w:pPr>
              <w:pStyle w:val="TABLENORMAL0"/>
              <w:ind w:left="802" w:hanging="709"/>
              <w:rPr>
                <w:sz w:val="22"/>
                <w:szCs w:val="22"/>
              </w:rPr>
            </w:pPr>
            <w:r w:rsidRPr="00D968BD">
              <w:rPr>
                <w:sz w:val="22"/>
                <w:szCs w:val="22"/>
              </w:rPr>
              <w:t>2.6.1</w:t>
            </w:r>
            <w:r w:rsidRPr="00D968BD">
              <w:rPr>
                <w:sz w:val="22"/>
                <w:szCs w:val="22"/>
              </w:rPr>
              <w:tab/>
              <w:t>Access and inclusion is considered across all community infrastructure and asset planning projects, including Fishermans Bend Urban Renewal Area (delivery 2019-21)</w:t>
            </w:r>
          </w:p>
          <w:p w:rsidR="00DD2F3B" w:rsidRDefault="00DD2F3B" w:rsidP="00F02475">
            <w:pPr>
              <w:pStyle w:val="ListParagraph"/>
            </w:pPr>
            <w:r w:rsidRPr="00737E61">
              <w:t>Delayed</w:t>
            </w:r>
            <w:r w:rsidR="00E04C16">
              <w:t xml:space="preserve">. </w:t>
            </w:r>
            <w:r w:rsidR="00A14BD9">
              <w:t>The Fishermans Bend Taskforce is continuing detailed precinct planning and community engagement on these is scheduled to start from March 2020. These will provide the foundation for service planning to commence for all community infrastructure and asset planning projects.</w:t>
            </w:r>
          </w:p>
          <w:p w:rsidR="00E04C16" w:rsidRPr="00737E61" w:rsidRDefault="00E04C16" w:rsidP="00E04C16">
            <w:pPr>
              <w:ind w:left="453"/>
            </w:pPr>
          </w:p>
          <w:p w:rsidR="00945643" w:rsidRDefault="00945643" w:rsidP="009945F1">
            <w:pPr>
              <w:pStyle w:val="TABLENORMAL0"/>
              <w:ind w:left="802" w:hanging="709"/>
              <w:rPr>
                <w:sz w:val="22"/>
                <w:szCs w:val="22"/>
              </w:rPr>
            </w:pPr>
            <w:r w:rsidRPr="00D968BD">
              <w:rPr>
                <w:sz w:val="22"/>
                <w:szCs w:val="22"/>
              </w:rPr>
              <w:t>2.6.2</w:t>
            </w:r>
            <w:r w:rsidRPr="00D968BD">
              <w:rPr>
                <w:sz w:val="22"/>
                <w:szCs w:val="22"/>
              </w:rPr>
              <w:tab/>
              <w:t>Accessibility is considered in the review and update of all Council's standard drawings (delivery 2019-21)</w:t>
            </w:r>
          </w:p>
          <w:p w:rsidR="00DD2F3B" w:rsidRPr="00B40725" w:rsidRDefault="00286790" w:rsidP="00F02475">
            <w:pPr>
              <w:pStyle w:val="ListParagraph"/>
            </w:pPr>
            <w:r>
              <w:t>In progress</w:t>
            </w:r>
            <w:r w:rsidR="00B0015E">
              <w:t>.</w:t>
            </w:r>
          </w:p>
          <w:p w:rsidR="00DD2F3B" w:rsidRPr="00D968BD" w:rsidRDefault="00DD2F3B" w:rsidP="00DD2F3B">
            <w:pPr>
              <w:ind w:left="453"/>
            </w:pPr>
          </w:p>
          <w:p w:rsidR="00945643" w:rsidRPr="00D968BD" w:rsidRDefault="00945643" w:rsidP="009945F1">
            <w:pPr>
              <w:pStyle w:val="TABLENORMAL0"/>
              <w:ind w:left="802" w:hanging="709"/>
              <w:rPr>
                <w:sz w:val="22"/>
                <w:szCs w:val="22"/>
              </w:rPr>
            </w:pPr>
            <w:r w:rsidRPr="00D968BD">
              <w:rPr>
                <w:sz w:val="22"/>
                <w:szCs w:val="22"/>
              </w:rPr>
              <w:t xml:space="preserve">2.6.3 </w:t>
            </w:r>
            <w:r w:rsidRPr="00D968BD">
              <w:rPr>
                <w:sz w:val="22"/>
                <w:szCs w:val="22"/>
              </w:rPr>
              <w:tab/>
              <w:t>Increase the accessibility of footpaths across the municipality (delivery 2019-21)</w:t>
            </w:r>
          </w:p>
          <w:p w:rsidR="00945643" w:rsidRPr="00D968BD" w:rsidRDefault="00286790" w:rsidP="00F02475">
            <w:pPr>
              <w:pStyle w:val="ListParagraph"/>
            </w:pPr>
            <w:r>
              <w:t>In progress</w:t>
            </w:r>
            <w:r w:rsidR="005555D2" w:rsidRPr="005555D2">
              <w:t>.</w:t>
            </w:r>
            <w:r w:rsidR="005555D2">
              <w:t xml:space="preserve"> Audit has been completed and a works program will be submitted for funding</w:t>
            </w:r>
            <w:r w:rsidR="00206929">
              <w:t>.</w:t>
            </w:r>
          </w:p>
        </w:tc>
      </w:tr>
    </w:tbl>
    <w:p w:rsidR="00D968BD" w:rsidRDefault="00D968BD" w:rsidP="00945643">
      <w:pPr>
        <w:pStyle w:val="Heading2"/>
      </w:pPr>
      <w:bookmarkStart w:id="6" w:name="_3._We_are"/>
      <w:bookmarkStart w:id="7" w:name="_Toc10796475"/>
      <w:bookmarkEnd w:id="6"/>
    </w:p>
    <w:p w:rsidR="00D968BD" w:rsidRDefault="00D968BD" w:rsidP="00D968BD">
      <w:pPr>
        <w:rPr>
          <w:color w:val="005467"/>
          <w:sz w:val="36"/>
          <w:szCs w:val="32"/>
        </w:rPr>
      </w:pPr>
      <w:r>
        <w:br w:type="page"/>
      </w:r>
    </w:p>
    <w:p w:rsidR="00945643" w:rsidRDefault="00945643" w:rsidP="00945643">
      <w:pPr>
        <w:pStyle w:val="Heading2"/>
      </w:pPr>
      <w:r>
        <w:lastRenderedPageBreak/>
        <w:t>3. We are Fair</w:t>
      </w:r>
      <w:bookmarkEnd w:id="7"/>
    </w:p>
    <w:p w:rsidR="00945643" w:rsidRPr="00D968BD" w:rsidRDefault="00945643" w:rsidP="00945643">
      <w:pPr>
        <w:rPr>
          <w:sz w:val="22"/>
        </w:rPr>
      </w:pPr>
      <w:r w:rsidRPr="00D968BD">
        <w:rPr>
          <w:sz w:val="22"/>
        </w:rPr>
        <w:t xml:space="preserve">The table below outlines </w:t>
      </w:r>
      <w:r w:rsidR="00D968BD" w:rsidRPr="00D968BD">
        <w:rPr>
          <w:sz w:val="22"/>
        </w:rPr>
        <w:t xml:space="preserve">the status of 2019 actions aligned </w:t>
      </w:r>
      <w:r w:rsidRPr="00D968BD">
        <w:rPr>
          <w:sz w:val="22"/>
        </w:rPr>
        <w:t>with the aim of fostering a respectful and equitable community.</w:t>
      </w:r>
    </w:p>
    <w:p w:rsidR="00945643" w:rsidRPr="00A47A19" w:rsidRDefault="00945643" w:rsidP="00945643">
      <w:pPr>
        <w:pStyle w:val="TableandFigureHeading"/>
        <w:spacing w:after="120"/>
        <w:rPr>
          <w:i/>
          <w:color w:val="000000" w:themeColor="text1"/>
        </w:rPr>
      </w:pPr>
      <w:bookmarkStart w:id="8" w:name="_Toc5962069"/>
      <w:r w:rsidRPr="00A47A19">
        <w:rPr>
          <w:color w:val="000000" w:themeColor="text1"/>
        </w:rPr>
        <w:t xml:space="preserve">Table </w:t>
      </w:r>
      <w:r w:rsidR="00D968BD" w:rsidRPr="00574D45">
        <w:rPr>
          <w:color w:val="000000" w:themeColor="text1"/>
        </w:rPr>
        <w:t>3</w:t>
      </w:r>
      <w:r w:rsidRPr="00A47A19">
        <w:rPr>
          <w:color w:val="000000" w:themeColor="text1"/>
        </w:rPr>
        <w:t>: We are fair</w:t>
      </w:r>
      <w:bookmarkEnd w:id="8"/>
    </w:p>
    <w:tbl>
      <w:tblPr>
        <w:tblStyle w:val="TableGrid"/>
        <w:tblW w:w="0" w:type="auto"/>
        <w:tblCellMar>
          <w:top w:w="57" w:type="dxa"/>
          <w:bottom w:w="57" w:type="dxa"/>
        </w:tblCellMar>
        <w:tblLook w:val="04A0" w:firstRow="1" w:lastRow="0" w:firstColumn="1" w:lastColumn="0" w:noHBand="0" w:noVBand="1"/>
        <w:tblCaption w:val="Table 3: We are fair"/>
        <w:tblDescription w:val="Table 3: We are fair"/>
      </w:tblPr>
      <w:tblGrid>
        <w:gridCol w:w="2972"/>
        <w:gridCol w:w="6521"/>
      </w:tblGrid>
      <w:tr w:rsidR="00945643" w:rsidTr="009945F1">
        <w:trPr>
          <w:tblHeader/>
        </w:trPr>
        <w:tc>
          <w:tcPr>
            <w:tcW w:w="2972" w:type="dxa"/>
            <w:tcBorders>
              <w:bottom w:val="single" w:sz="4" w:space="0" w:color="auto"/>
            </w:tcBorders>
            <w:shd w:val="clear" w:color="auto" w:fill="811620"/>
            <w:tcMar>
              <w:left w:w="57" w:type="dxa"/>
              <w:right w:w="57" w:type="dxa"/>
            </w:tcMar>
          </w:tcPr>
          <w:p w:rsidR="00945643" w:rsidRPr="00D856DA" w:rsidRDefault="00945643" w:rsidP="009945F1">
            <w:pPr>
              <w:pStyle w:val="TableandFigureHeading"/>
            </w:pPr>
            <w:r w:rsidRPr="003A7186">
              <w:t>Principle</w:t>
            </w:r>
          </w:p>
        </w:tc>
        <w:tc>
          <w:tcPr>
            <w:tcW w:w="6521" w:type="dxa"/>
            <w:tcBorders>
              <w:bottom w:val="single" w:sz="4" w:space="0" w:color="auto"/>
            </w:tcBorders>
            <w:shd w:val="clear" w:color="auto" w:fill="811620"/>
            <w:tcMar>
              <w:left w:w="57" w:type="dxa"/>
              <w:right w:w="57" w:type="dxa"/>
            </w:tcMar>
          </w:tcPr>
          <w:p w:rsidR="00945643" w:rsidRDefault="00945643" w:rsidP="009945F1">
            <w:pPr>
              <w:pStyle w:val="TableandFigureHeading"/>
            </w:pPr>
            <w:r w:rsidRPr="003A7186">
              <w:t>Action</w:t>
            </w:r>
          </w:p>
        </w:tc>
      </w:tr>
      <w:tr w:rsidR="00945643" w:rsidRPr="00C53189" w:rsidTr="009945F1">
        <w:tc>
          <w:tcPr>
            <w:tcW w:w="2972" w:type="dxa"/>
            <w:tcBorders>
              <w:lef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3.1</w:t>
            </w:r>
            <w:r w:rsidRPr="00D968BD">
              <w:rPr>
                <w:sz w:val="22"/>
              </w:rPr>
              <w:tab/>
              <w:t>Council's customer service is a positive experience for people with disability</w:t>
            </w:r>
          </w:p>
        </w:tc>
        <w:tc>
          <w:tcPr>
            <w:tcW w:w="6521" w:type="dxa"/>
            <w:tcBorders>
              <w:right w:val="single" w:sz="4" w:space="0" w:color="auto"/>
            </w:tcBorders>
            <w:tcMar>
              <w:left w:w="57" w:type="dxa"/>
              <w:right w:w="57" w:type="dxa"/>
            </w:tcMar>
          </w:tcPr>
          <w:p w:rsidR="00945643" w:rsidRDefault="00945643" w:rsidP="009945F1">
            <w:pPr>
              <w:ind w:left="802" w:hanging="709"/>
              <w:rPr>
                <w:sz w:val="22"/>
              </w:rPr>
            </w:pPr>
            <w:r w:rsidRPr="00D968BD">
              <w:rPr>
                <w:sz w:val="22"/>
              </w:rPr>
              <w:t>3.1.1</w:t>
            </w:r>
            <w:r w:rsidRPr="00D968BD">
              <w:rPr>
                <w:sz w:val="22"/>
              </w:rPr>
              <w:tab/>
              <w:t>Increase the disability confidence of Council's ASSIST team (delivery 2019-20)</w:t>
            </w:r>
          </w:p>
          <w:p w:rsidR="00B40725" w:rsidRPr="00D968BD" w:rsidRDefault="00286790" w:rsidP="00F02475">
            <w:pPr>
              <w:pStyle w:val="ListParagraph"/>
            </w:pPr>
            <w:r>
              <w:t>In progress</w:t>
            </w:r>
            <w:r w:rsidR="00B40725">
              <w:t>: (</w:t>
            </w:r>
            <w:r w:rsidR="00B0015E">
              <w:t>S</w:t>
            </w:r>
            <w:r w:rsidR="00B40725">
              <w:t xml:space="preserve">enior) </w:t>
            </w:r>
            <w:r w:rsidR="00B40725" w:rsidRPr="00B40725">
              <w:t xml:space="preserve">ASSIST team members </w:t>
            </w:r>
            <w:r w:rsidR="00B40725">
              <w:t>undertook disability confidence training with plans to invite more ASSIST team members to training sessions scheduled for 2020.</w:t>
            </w:r>
          </w:p>
        </w:tc>
      </w:tr>
      <w:tr w:rsidR="00945643" w:rsidRPr="00C53189" w:rsidTr="009945F1">
        <w:tc>
          <w:tcPr>
            <w:tcW w:w="2972" w:type="dxa"/>
            <w:tcBorders>
              <w:lef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3.2</w:t>
            </w:r>
            <w:r w:rsidRPr="00D968BD">
              <w:rPr>
                <w:sz w:val="22"/>
              </w:rPr>
              <w:tab/>
              <w:t>We partner with suppliers who are committed to equitable practices for people with disability</w:t>
            </w:r>
          </w:p>
        </w:tc>
        <w:tc>
          <w:tcPr>
            <w:tcW w:w="6521" w:type="dxa"/>
            <w:tcBorders>
              <w:right w:val="single" w:sz="4" w:space="0" w:color="auto"/>
            </w:tcBorders>
            <w:tcMar>
              <w:left w:w="57" w:type="dxa"/>
              <w:right w:w="57" w:type="dxa"/>
            </w:tcMar>
          </w:tcPr>
          <w:p w:rsidR="00945643" w:rsidRDefault="00945643" w:rsidP="009945F1">
            <w:pPr>
              <w:ind w:left="802" w:hanging="709"/>
              <w:rPr>
                <w:sz w:val="22"/>
              </w:rPr>
            </w:pPr>
            <w:r w:rsidRPr="00D968BD">
              <w:rPr>
                <w:sz w:val="22"/>
              </w:rPr>
              <w:t>3.2.1</w:t>
            </w:r>
            <w:r w:rsidRPr="00D968BD">
              <w:rPr>
                <w:sz w:val="22"/>
              </w:rPr>
              <w:tab/>
              <w:t>Develop access and inclusion guidelines for suppliers and partners (delivery 2019)</w:t>
            </w:r>
          </w:p>
          <w:p w:rsidR="005555D2" w:rsidRPr="0082433B" w:rsidRDefault="00286790" w:rsidP="00F02475">
            <w:pPr>
              <w:pStyle w:val="ListParagraph"/>
            </w:pPr>
            <w:r>
              <w:t>Partial progress</w:t>
            </w:r>
            <w:r w:rsidR="005555D2" w:rsidRPr="0082433B">
              <w:t xml:space="preserve">. Work undertaken to date </w:t>
            </w:r>
            <w:r w:rsidR="00B1304F" w:rsidRPr="0082433B">
              <w:t xml:space="preserve">in 2019 </w:t>
            </w:r>
            <w:r w:rsidR="005555D2" w:rsidRPr="0082433B">
              <w:t xml:space="preserve">on this </w:t>
            </w:r>
            <w:r w:rsidR="00B1304F" w:rsidRPr="0082433B">
              <w:t>includes:</w:t>
            </w:r>
          </w:p>
          <w:p w:rsidR="00B1304F" w:rsidRPr="0082433B" w:rsidRDefault="00B1304F" w:rsidP="00B1304F">
            <w:pPr>
              <w:pStyle w:val="TABLENORMAL0"/>
              <w:numPr>
                <w:ilvl w:val="1"/>
                <w:numId w:val="13"/>
              </w:numPr>
              <w:rPr>
                <w:sz w:val="22"/>
                <w:szCs w:val="22"/>
              </w:rPr>
            </w:pPr>
            <w:r w:rsidRPr="0082433B">
              <w:rPr>
                <w:sz w:val="22"/>
                <w:szCs w:val="22"/>
              </w:rPr>
              <w:t>Workshop held (early 2019) for council employees across the organisation: ‘Corporate and Social Responsibility (CSR) in the Supply Chain’ (note: this was prior to the formal endorsement of the Access and Inclusion Plan).</w:t>
            </w:r>
          </w:p>
          <w:p w:rsidR="002A7B17" w:rsidRDefault="005555D2" w:rsidP="002A7B17">
            <w:pPr>
              <w:pStyle w:val="TABLENORMAL0"/>
              <w:numPr>
                <w:ilvl w:val="1"/>
                <w:numId w:val="13"/>
              </w:numPr>
              <w:rPr>
                <w:sz w:val="22"/>
                <w:szCs w:val="22"/>
              </w:rPr>
            </w:pPr>
            <w:r w:rsidRPr="0082433B">
              <w:rPr>
                <w:sz w:val="22"/>
                <w:szCs w:val="22"/>
              </w:rPr>
              <w:t>Social Procurement Reference Group</w:t>
            </w:r>
            <w:r w:rsidR="00B1304F" w:rsidRPr="0082433B">
              <w:rPr>
                <w:sz w:val="22"/>
                <w:szCs w:val="22"/>
              </w:rPr>
              <w:t xml:space="preserve"> established (Nov/Dec) with the purpose of developing a strategic plan.</w:t>
            </w:r>
          </w:p>
          <w:p w:rsidR="005555D2" w:rsidRPr="002A7B17" w:rsidRDefault="005555D2" w:rsidP="002A7B17">
            <w:pPr>
              <w:pStyle w:val="TABLENORMAL0"/>
              <w:numPr>
                <w:ilvl w:val="1"/>
                <w:numId w:val="13"/>
              </w:numPr>
              <w:rPr>
                <w:sz w:val="22"/>
                <w:szCs w:val="22"/>
              </w:rPr>
            </w:pPr>
            <w:r w:rsidRPr="002A7B17">
              <w:rPr>
                <w:sz w:val="22"/>
                <w:szCs w:val="22"/>
              </w:rPr>
              <w:t>Further work will continue in 2020 on the development of Council Proc</w:t>
            </w:r>
            <w:r w:rsidR="00B1304F" w:rsidRPr="002A7B17">
              <w:rPr>
                <w:sz w:val="22"/>
                <w:szCs w:val="22"/>
              </w:rPr>
              <w:t>urement Policy, guidelines and t</w:t>
            </w:r>
            <w:r w:rsidRPr="002A7B17">
              <w:rPr>
                <w:sz w:val="22"/>
                <w:szCs w:val="22"/>
              </w:rPr>
              <w:t>emplates to include aspects such as employment and social participation for people with disability.</w:t>
            </w:r>
          </w:p>
          <w:p w:rsidR="00834A4A" w:rsidRPr="00D968BD" w:rsidRDefault="00834A4A" w:rsidP="009945F1">
            <w:pPr>
              <w:ind w:left="802" w:hanging="709"/>
              <w:rPr>
                <w:sz w:val="22"/>
              </w:rPr>
            </w:pPr>
          </w:p>
          <w:p w:rsidR="00945643" w:rsidRDefault="00945643" w:rsidP="009945F1">
            <w:pPr>
              <w:ind w:left="802" w:hanging="709"/>
              <w:rPr>
                <w:sz w:val="22"/>
              </w:rPr>
            </w:pPr>
            <w:r w:rsidRPr="00D968BD">
              <w:rPr>
                <w:sz w:val="22"/>
              </w:rPr>
              <w:t>3.2.3</w:t>
            </w:r>
            <w:r w:rsidRPr="00D968BD">
              <w:rPr>
                <w:sz w:val="22"/>
              </w:rPr>
              <w:tab/>
              <w:t>Update access and inclusion guidelines for grant opportunities (delivery 2019-20)</w:t>
            </w:r>
          </w:p>
          <w:p w:rsidR="00834A4A" w:rsidRPr="00834A4A" w:rsidRDefault="00206929" w:rsidP="00F02475">
            <w:pPr>
              <w:pStyle w:val="ListParagraph"/>
            </w:pPr>
            <w:r>
              <w:t>D</w:t>
            </w:r>
            <w:r w:rsidR="00834A4A" w:rsidRPr="00834A4A">
              <w:t xml:space="preserve">elayed. Intend to be back on track for implementation </w:t>
            </w:r>
            <w:r>
              <w:t>in</w:t>
            </w:r>
            <w:r w:rsidR="00834A4A" w:rsidRPr="00834A4A">
              <w:t xml:space="preserve"> 2020.</w:t>
            </w:r>
          </w:p>
        </w:tc>
      </w:tr>
      <w:tr w:rsidR="00945643" w:rsidRPr="00C53189" w:rsidTr="009945F1">
        <w:tc>
          <w:tcPr>
            <w:tcW w:w="2972" w:type="dxa"/>
            <w:tcBorders>
              <w:left w:val="single" w:sz="4" w:space="0" w:color="auto"/>
            </w:tcBorders>
            <w:tcMar>
              <w:left w:w="57" w:type="dxa"/>
              <w:right w:w="57" w:type="dxa"/>
            </w:tcMar>
          </w:tcPr>
          <w:p w:rsidR="00945643" w:rsidRPr="00D968BD" w:rsidRDefault="00945643" w:rsidP="009945F1">
            <w:pPr>
              <w:ind w:left="507" w:hanging="425"/>
              <w:rPr>
                <w:b/>
                <w:color w:val="auto"/>
                <w:sz w:val="22"/>
              </w:rPr>
            </w:pPr>
            <w:r w:rsidRPr="00D968BD">
              <w:rPr>
                <w:sz w:val="22"/>
              </w:rPr>
              <w:t>3.3</w:t>
            </w:r>
            <w:r w:rsidRPr="00D968BD">
              <w:rPr>
                <w:sz w:val="22"/>
              </w:rPr>
              <w:tab/>
              <w:t xml:space="preserve">Access and inclusion awareness is included </w:t>
            </w:r>
            <w:r w:rsidRPr="00D968BD">
              <w:rPr>
                <w:sz w:val="22"/>
              </w:rPr>
              <w:lastRenderedPageBreak/>
              <w:t xml:space="preserve">in the management of community access to council utilised buildings </w:t>
            </w:r>
          </w:p>
        </w:tc>
        <w:tc>
          <w:tcPr>
            <w:tcW w:w="6521" w:type="dxa"/>
            <w:tcBorders>
              <w:right w:val="single" w:sz="4" w:space="0" w:color="auto"/>
            </w:tcBorders>
            <w:tcMar>
              <w:left w:w="57" w:type="dxa"/>
              <w:right w:w="57" w:type="dxa"/>
            </w:tcMar>
          </w:tcPr>
          <w:p w:rsidR="00945643" w:rsidRDefault="00945643" w:rsidP="009945F1">
            <w:pPr>
              <w:ind w:left="802" w:hanging="709"/>
              <w:rPr>
                <w:sz w:val="22"/>
              </w:rPr>
            </w:pPr>
            <w:r w:rsidRPr="00D968BD">
              <w:rPr>
                <w:sz w:val="22"/>
              </w:rPr>
              <w:lastRenderedPageBreak/>
              <w:t>3.3.1</w:t>
            </w:r>
            <w:r w:rsidRPr="00D968BD">
              <w:rPr>
                <w:sz w:val="22"/>
              </w:rPr>
              <w:tab/>
              <w:t>Review our Emergency Management process and practice to enhance accessibility (delivery 2019-21)</w:t>
            </w:r>
          </w:p>
          <w:p w:rsidR="00286790" w:rsidRDefault="00286790" w:rsidP="00F02475">
            <w:pPr>
              <w:pStyle w:val="ListParagraph"/>
            </w:pPr>
            <w:r>
              <w:lastRenderedPageBreak/>
              <w:t>In progress</w:t>
            </w:r>
            <w:r w:rsidR="00834A4A">
              <w:t xml:space="preserve">: </w:t>
            </w:r>
          </w:p>
          <w:p w:rsidR="00834A4A" w:rsidRPr="00286790" w:rsidRDefault="00834A4A" w:rsidP="00286790">
            <w:pPr>
              <w:pStyle w:val="TABLENORMAL0"/>
              <w:numPr>
                <w:ilvl w:val="1"/>
                <w:numId w:val="13"/>
              </w:numPr>
              <w:rPr>
                <w:sz w:val="22"/>
                <w:szCs w:val="22"/>
              </w:rPr>
            </w:pPr>
            <w:r w:rsidRPr="00286790">
              <w:rPr>
                <w:sz w:val="22"/>
                <w:szCs w:val="22"/>
              </w:rPr>
              <w:t xml:space="preserve">Review and update of Emergency Management manual - currently been undertaken and due for completion by end of December. </w:t>
            </w:r>
          </w:p>
          <w:p w:rsidR="00945643" w:rsidRPr="00D968BD" w:rsidRDefault="00834A4A" w:rsidP="00286790">
            <w:pPr>
              <w:pStyle w:val="TABLENORMAL0"/>
              <w:numPr>
                <w:ilvl w:val="1"/>
                <w:numId w:val="13"/>
              </w:numPr>
              <w:rPr>
                <w:kern w:val="24"/>
              </w:rPr>
            </w:pPr>
            <w:r w:rsidRPr="00286790">
              <w:rPr>
                <w:sz w:val="22"/>
                <w:szCs w:val="22"/>
              </w:rPr>
              <w:t>Review practice at Council hosted Emergency Relief Centres – completed in training held 29 November.</w:t>
            </w:r>
          </w:p>
        </w:tc>
      </w:tr>
      <w:tr w:rsidR="00945643" w:rsidRPr="00C53189" w:rsidTr="009945F1">
        <w:tc>
          <w:tcPr>
            <w:tcW w:w="2972" w:type="dxa"/>
            <w:tcBorders>
              <w:left w:val="single" w:sz="4" w:space="0" w:color="auto"/>
              <w:bottom w:val="single" w:sz="4" w:space="0" w:color="auto"/>
              <w:righ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lastRenderedPageBreak/>
              <w:t>3.4</w:t>
            </w:r>
            <w:r w:rsidRPr="00D968BD">
              <w:rPr>
                <w:sz w:val="22"/>
              </w:rPr>
              <w:tab/>
              <w:t>Community mental health is strengthened through advocacy</w:t>
            </w:r>
          </w:p>
        </w:tc>
        <w:tc>
          <w:tcPr>
            <w:tcW w:w="6521" w:type="dxa"/>
            <w:tcBorders>
              <w:left w:val="single" w:sz="4" w:space="0" w:color="auto"/>
              <w:bottom w:val="single" w:sz="4" w:space="0" w:color="auto"/>
              <w:right w:val="single" w:sz="4" w:space="0" w:color="auto"/>
            </w:tcBorders>
            <w:tcMar>
              <w:left w:w="57" w:type="dxa"/>
              <w:right w:w="57" w:type="dxa"/>
            </w:tcMar>
          </w:tcPr>
          <w:p w:rsidR="00945643" w:rsidRDefault="00945643" w:rsidP="009945F1">
            <w:pPr>
              <w:ind w:left="802" w:hanging="709"/>
              <w:rPr>
                <w:sz w:val="22"/>
              </w:rPr>
            </w:pPr>
            <w:r w:rsidRPr="00D968BD">
              <w:rPr>
                <w:sz w:val="22"/>
              </w:rPr>
              <w:t>3.4.1</w:t>
            </w:r>
            <w:r w:rsidRPr="00D968BD">
              <w:rPr>
                <w:sz w:val="22"/>
              </w:rPr>
              <w:tab/>
              <w:t>Promote good mental health, accessibility and inclusion for school-aged children (delivery 2019)</w:t>
            </w:r>
          </w:p>
          <w:p w:rsidR="00041484" w:rsidRPr="00717380" w:rsidRDefault="00DB38C3" w:rsidP="00717380">
            <w:pPr>
              <w:pStyle w:val="ListParagraph"/>
            </w:pPr>
            <w:r w:rsidRPr="00717380">
              <w:t xml:space="preserve">Completed. </w:t>
            </w:r>
            <w:r w:rsidR="00932E06" w:rsidRPr="00717380">
              <w:t>The Middle Years &amp; Youth Services team undertook various activities, such as</w:t>
            </w:r>
            <w:r w:rsidR="00041484" w:rsidRPr="00717380">
              <w:t>:</w:t>
            </w:r>
          </w:p>
          <w:p w:rsidR="00717380" w:rsidRPr="00717380" w:rsidRDefault="00717380" w:rsidP="00717380">
            <w:pPr>
              <w:pStyle w:val="TABLENORMAL0"/>
              <w:numPr>
                <w:ilvl w:val="1"/>
                <w:numId w:val="13"/>
              </w:numPr>
              <w:rPr>
                <w:sz w:val="22"/>
                <w:szCs w:val="22"/>
              </w:rPr>
            </w:pPr>
            <w:r w:rsidRPr="00717380">
              <w:rPr>
                <w:sz w:val="22"/>
                <w:szCs w:val="22"/>
              </w:rPr>
              <w:t xml:space="preserve">Providing ongoing support on mental health and promotion of a healthy lifestyle through Case </w:t>
            </w:r>
            <w:r w:rsidR="00B0015E">
              <w:rPr>
                <w:sz w:val="22"/>
                <w:szCs w:val="22"/>
              </w:rPr>
              <w:t>M</w:t>
            </w:r>
            <w:r w:rsidR="00B0015E" w:rsidRPr="00717380">
              <w:rPr>
                <w:sz w:val="22"/>
                <w:szCs w:val="22"/>
              </w:rPr>
              <w:t>anagement</w:t>
            </w:r>
            <w:r w:rsidRPr="00717380">
              <w:rPr>
                <w:sz w:val="22"/>
                <w:szCs w:val="22"/>
              </w:rPr>
              <w:t>, Youth Events and Social Media</w:t>
            </w:r>
            <w:r w:rsidR="00B0015E">
              <w:rPr>
                <w:sz w:val="22"/>
                <w:szCs w:val="22"/>
              </w:rPr>
              <w:t>.</w:t>
            </w:r>
          </w:p>
          <w:p w:rsidR="00717380" w:rsidRPr="00717380" w:rsidRDefault="00717380" w:rsidP="00717380">
            <w:pPr>
              <w:pStyle w:val="TABLENORMAL0"/>
              <w:numPr>
                <w:ilvl w:val="1"/>
                <w:numId w:val="13"/>
              </w:numPr>
              <w:rPr>
                <w:sz w:val="22"/>
                <w:szCs w:val="22"/>
              </w:rPr>
            </w:pPr>
            <w:r w:rsidRPr="00717380">
              <w:rPr>
                <w:sz w:val="22"/>
                <w:szCs w:val="22"/>
              </w:rPr>
              <w:t xml:space="preserve">Youth network meetings are run for professionals, which included topics on LGTBQI and Youth Disability Advocacy </w:t>
            </w:r>
            <w:r w:rsidR="00B0015E">
              <w:rPr>
                <w:sz w:val="22"/>
                <w:szCs w:val="22"/>
              </w:rPr>
              <w:t>Service.</w:t>
            </w:r>
          </w:p>
          <w:p w:rsidR="00717380" w:rsidRPr="00717380" w:rsidRDefault="00717380" w:rsidP="00717380">
            <w:pPr>
              <w:pStyle w:val="TABLENORMAL0"/>
              <w:numPr>
                <w:ilvl w:val="1"/>
                <w:numId w:val="13"/>
              </w:numPr>
              <w:rPr>
                <w:sz w:val="22"/>
                <w:szCs w:val="22"/>
              </w:rPr>
            </w:pPr>
            <w:r w:rsidRPr="00717380">
              <w:rPr>
                <w:sz w:val="22"/>
                <w:szCs w:val="22"/>
              </w:rPr>
              <w:t>Collaboration occurs with the wider team to run parent info</w:t>
            </w:r>
            <w:r w:rsidR="00B0015E">
              <w:rPr>
                <w:sz w:val="22"/>
                <w:szCs w:val="22"/>
              </w:rPr>
              <w:t>rmation</w:t>
            </w:r>
            <w:r w:rsidRPr="00717380">
              <w:rPr>
                <w:sz w:val="22"/>
                <w:szCs w:val="22"/>
              </w:rPr>
              <w:t xml:space="preserve"> sessions to promote good health and wellbeing for children</w:t>
            </w:r>
            <w:r w:rsidR="00B0015E">
              <w:rPr>
                <w:sz w:val="22"/>
                <w:szCs w:val="22"/>
              </w:rPr>
              <w:t>.</w:t>
            </w:r>
          </w:p>
          <w:p w:rsidR="00717380" w:rsidRPr="00717380" w:rsidRDefault="00717380" w:rsidP="00717380">
            <w:pPr>
              <w:pStyle w:val="TABLENORMAL0"/>
              <w:numPr>
                <w:ilvl w:val="1"/>
                <w:numId w:val="13"/>
              </w:numPr>
              <w:rPr>
                <w:sz w:val="22"/>
                <w:szCs w:val="22"/>
              </w:rPr>
            </w:pPr>
            <w:r w:rsidRPr="00717380">
              <w:rPr>
                <w:sz w:val="22"/>
                <w:szCs w:val="22"/>
              </w:rPr>
              <w:t>A small event on RU Okay Day was run at Elwood College</w:t>
            </w:r>
            <w:r w:rsidR="00B0015E">
              <w:rPr>
                <w:sz w:val="22"/>
                <w:szCs w:val="22"/>
              </w:rPr>
              <w:t>.</w:t>
            </w:r>
          </w:p>
          <w:p w:rsidR="00717380" w:rsidRPr="00717380" w:rsidRDefault="00717380" w:rsidP="00717380">
            <w:pPr>
              <w:pStyle w:val="TABLENORMAL0"/>
              <w:numPr>
                <w:ilvl w:val="1"/>
                <w:numId w:val="13"/>
              </w:numPr>
              <w:rPr>
                <w:sz w:val="22"/>
                <w:szCs w:val="22"/>
              </w:rPr>
            </w:pPr>
            <w:r w:rsidRPr="00717380">
              <w:rPr>
                <w:sz w:val="22"/>
                <w:szCs w:val="22"/>
              </w:rPr>
              <w:t>Accessing and promoting services for young people at Head Space – Youth Mental Health Service</w:t>
            </w:r>
            <w:r w:rsidR="00B0015E">
              <w:rPr>
                <w:sz w:val="22"/>
                <w:szCs w:val="22"/>
              </w:rPr>
              <w:t>.</w:t>
            </w:r>
          </w:p>
          <w:p w:rsidR="00945643" w:rsidRDefault="00945643" w:rsidP="009945F1">
            <w:pPr>
              <w:ind w:left="802" w:hanging="709"/>
              <w:rPr>
                <w:sz w:val="22"/>
              </w:rPr>
            </w:pPr>
            <w:r w:rsidRPr="00D968BD">
              <w:rPr>
                <w:sz w:val="22"/>
              </w:rPr>
              <w:t>3.4.3</w:t>
            </w:r>
            <w:r w:rsidRPr="00D968BD">
              <w:rPr>
                <w:sz w:val="22"/>
              </w:rPr>
              <w:tab/>
              <w:t>Strengthen our advocacy in relation to the availability of community mental health services in our municipality (delivery 2019)</w:t>
            </w:r>
          </w:p>
          <w:p w:rsidR="00B12F2E" w:rsidRPr="00B12F2E" w:rsidRDefault="00B12F2E" w:rsidP="00717380">
            <w:pPr>
              <w:pStyle w:val="ListParagraph"/>
            </w:pPr>
            <w:r>
              <w:t>Completed</w:t>
            </w:r>
            <w:r w:rsidR="005555D2">
              <w:t xml:space="preserve">. </w:t>
            </w:r>
            <w:r w:rsidR="0044735A">
              <w:t>Report to the Mental Health Royal Commission, submission May 2019</w:t>
            </w:r>
            <w:r>
              <w:t xml:space="preserve"> (note</w:t>
            </w:r>
            <w:r w:rsidR="0044735A">
              <w:t>: this was prior to the formal endorsement of the Access and Inclusion Plan)</w:t>
            </w:r>
            <w:r w:rsidRPr="00B12F2E">
              <w:t>.</w:t>
            </w:r>
          </w:p>
        </w:tc>
      </w:tr>
    </w:tbl>
    <w:p w:rsidR="00945643" w:rsidRDefault="00945643" w:rsidP="00945643">
      <w:pPr>
        <w:rPr>
          <w:lang w:val="en-US"/>
        </w:rPr>
      </w:pPr>
      <w:r>
        <w:br w:type="page"/>
      </w:r>
    </w:p>
    <w:p w:rsidR="00945643" w:rsidRDefault="00945643" w:rsidP="00945643">
      <w:pPr>
        <w:pStyle w:val="Heading2"/>
      </w:pPr>
      <w:bookmarkStart w:id="9" w:name="_4._We_are"/>
      <w:bookmarkStart w:id="10" w:name="_Toc10796476"/>
      <w:bookmarkEnd w:id="9"/>
      <w:r>
        <w:lastRenderedPageBreak/>
        <w:t>4. We are Disability Confident</w:t>
      </w:r>
      <w:bookmarkEnd w:id="10"/>
    </w:p>
    <w:p w:rsidR="00945643" w:rsidRDefault="00945643" w:rsidP="00945643">
      <w:r>
        <w:t xml:space="preserve">The table below outlines </w:t>
      </w:r>
      <w:r w:rsidR="00D968BD">
        <w:t xml:space="preserve">the status of 2019 actions aligned </w:t>
      </w:r>
      <w:r>
        <w:t>with the aim of fostering organisational capability and culture.</w:t>
      </w:r>
    </w:p>
    <w:p w:rsidR="00945643" w:rsidRPr="00A47A19" w:rsidRDefault="00945643" w:rsidP="00945643">
      <w:pPr>
        <w:pStyle w:val="TableandFigureHeading"/>
        <w:spacing w:after="120"/>
        <w:rPr>
          <w:i/>
          <w:color w:val="000000" w:themeColor="text1"/>
        </w:rPr>
      </w:pPr>
      <w:bookmarkStart w:id="11" w:name="_Toc5962070"/>
      <w:r w:rsidRPr="00A47A19">
        <w:rPr>
          <w:color w:val="000000" w:themeColor="text1"/>
        </w:rPr>
        <w:t xml:space="preserve">Table </w:t>
      </w:r>
      <w:r w:rsidR="00D968BD">
        <w:rPr>
          <w:color w:val="000000" w:themeColor="text1"/>
        </w:rPr>
        <w:t>4</w:t>
      </w:r>
      <w:r w:rsidRPr="00A47A19">
        <w:rPr>
          <w:color w:val="000000" w:themeColor="text1"/>
        </w:rPr>
        <w:t>: We are disability confident</w:t>
      </w:r>
      <w:bookmarkEnd w:id="11"/>
    </w:p>
    <w:tbl>
      <w:tblPr>
        <w:tblStyle w:val="TableGrid"/>
        <w:tblW w:w="0" w:type="auto"/>
        <w:tblCellMar>
          <w:top w:w="57" w:type="dxa"/>
          <w:bottom w:w="57" w:type="dxa"/>
        </w:tblCellMar>
        <w:tblLook w:val="04A0" w:firstRow="1" w:lastRow="0" w:firstColumn="1" w:lastColumn="0" w:noHBand="0" w:noVBand="1"/>
        <w:tblCaption w:val="Table 4: We are disability confident"/>
        <w:tblDescription w:val="Table 4: We are disability confident"/>
      </w:tblPr>
      <w:tblGrid>
        <w:gridCol w:w="2972"/>
        <w:gridCol w:w="6521"/>
      </w:tblGrid>
      <w:tr w:rsidR="00945643" w:rsidTr="009945F1">
        <w:trPr>
          <w:tblHeader/>
        </w:trPr>
        <w:tc>
          <w:tcPr>
            <w:tcW w:w="2972" w:type="dxa"/>
            <w:tcBorders>
              <w:bottom w:val="single" w:sz="4" w:space="0" w:color="auto"/>
            </w:tcBorders>
            <w:shd w:val="clear" w:color="auto" w:fill="811620"/>
            <w:tcMar>
              <w:left w:w="57" w:type="dxa"/>
              <w:right w:w="57" w:type="dxa"/>
            </w:tcMar>
          </w:tcPr>
          <w:p w:rsidR="00945643" w:rsidRPr="00D856DA" w:rsidRDefault="00945643" w:rsidP="009945F1">
            <w:pPr>
              <w:pStyle w:val="TableandFigureHeading"/>
            </w:pPr>
            <w:r w:rsidRPr="003A7186">
              <w:t>Principle</w:t>
            </w:r>
          </w:p>
        </w:tc>
        <w:tc>
          <w:tcPr>
            <w:tcW w:w="6521" w:type="dxa"/>
            <w:tcBorders>
              <w:bottom w:val="single" w:sz="4" w:space="0" w:color="auto"/>
            </w:tcBorders>
            <w:shd w:val="clear" w:color="auto" w:fill="811620"/>
            <w:tcMar>
              <w:left w:w="57" w:type="dxa"/>
              <w:right w:w="57" w:type="dxa"/>
            </w:tcMar>
          </w:tcPr>
          <w:p w:rsidR="00945643" w:rsidRDefault="00945643" w:rsidP="009945F1">
            <w:pPr>
              <w:pStyle w:val="TableandFigureHeading"/>
            </w:pPr>
            <w:r w:rsidRPr="003A7186">
              <w:t>Action</w:t>
            </w:r>
          </w:p>
        </w:tc>
      </w:tr>
      <w:tr w:rsidR="00945643" w:rsidRPr="00C53189" w:rsidTr="009945F1">
        <w:tc>
          <w:tcPr>
            <w:tcW w:w="2972" w:type="dxa"/>
            <w:tcBorders>
              <w:lef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4.1</w:t>
            </w:r>
            <w:r w:rsidRPr="00D968BD">
              <w:rPr>
                <w:sz w:val="22"/>
              </w:rPr>
              <w:tab/>
              <w:t>We are an Employer of Choice for people with disability</w:t>
            </w:r>
          </w:p>
        </w:tc>
        <w:tc>
          <w:tcPr>
            <w:tcW w:w="6521" w:type="dxa"/>
            <w:tcBorders>
              <w:right w:val="single" w:sz="4" w:space="0" w:color="auto"/>
            </w:tcBorders>
            <w:tcMar>
              <w:left w:w="57" w:type="dxa"/>
              <w:right w:w="57" w:type="dxa"/>
            </w:tcMar>
          </w:tcPr>
          <w:p w:rsidR="00945643" w:rsidRPr="00543483" w:rsidRDefault="00945643" w:rsidP="009945F1">
            <w:pPr>
              <w:ind w:left="802" w:hanging="709"/>
              <w:rPr>
                <w:sz w:val="22"/>
              </w:rPr>
            </w:pPr>
            <w:r w:rsidRPr="00543483">
              <w:rPr>
                <w:sz w:val="22"/>
              </w:rPr>
              <w:t>4.1</w:t>
            </w:r>
            <w:r w:rsidR="00D968BD" w:rsidRPr="00543483">
              <w:rPr>
                <w:sz w:val="22"/>
              </w:rPr>
              <w:t>.1</w:t>
            </w:r>
            <w:r w:rsidRPr="00543483">
              <w:rPr>
                <w:sz w:val="22"/>
              </w:rPr>
              <w:tab/>
              <w:t>Implement disability confident practices across the employee life-cycle, starting with ensuring accessible and inclusive recruitment practices (delivery 2019-20)</w:t>
            </w:r>
          </w:p>
          <w:p w:rsidR="00335467" w:rsidRPr="00286790" w:rsidRDefault="00286790" w:rsidP="00F02475">
            <w:pPr>
              <w:pStyle w:val="ListParagraph"/>
            </w:pPr>
            <w:r>
              <w:t>Partial progress</w:t>
            </w:r>
            <w:r w:rsidR="00B0015E">
              <w:t>:</w:t>
            </w:r>
            <w:r w:rsidR="00335467" w:rsidRPr="00543483">
              <w:t xml:space="preserve"> </w:t>
            </w:r>
            <w:r w:rsidR="00543483" w:rsidRPr="00286790">
              <w:t>E.g. r</w:t>
            </w:r>
            <w:r w:rsidR="00335467" w:rsidRPr="00286790">
              <w:t>ecruitment practice includes HR contact</w:t>
            </w:r>
            <w:r w:rsidR="00543483" w:rsidRPr="00286790">
              <w:t xml:space="preserve"> details to request adjustments, and recruitment content reviewed for inclusive language.</w:t>
            </w:r>
          </w:p>
          <w:p w:rsidR="00835F88" w:rsidRPr="00835F88" w:rsidRDefault="00835F88" w:rsidP="00835F88">
            <w:pPr>
              <w:ind w:left="360"/>
              <w:rPr>
                <w:sz w:val="22"/>
              </w:rPr>
            </w:pPr>
          </w:p>
          <w:p w:rsidR="00945643" w:rsidRPr="00543483" w:rsidRDefault="00945643" w:rsidP="009945F1">
            <w:pPr>
              <w:ind w:left="802" w:hanging="709"/>
              <w:rPr>
                <w:sz w:val="22"/>
              </w:rPr>
            </w:pPr>
            <w:r w:rsidRPr="00543483">
              <w:rPr>
                <w:sz w:val="22"/>
              </w:rPr>
              <w:t>4.1.2</w:t>
            </w:r>
            <w:r w:rsidRPr="00543483">
              <w:rPr>
                <w:sz w:val="22"/>
              </w:rPr>
              <w:tab/>
              <w:t>Adopt a centralised workplace adjustment fund (delivery 2019)</w:t>
            </w:r>
          </w:p>
          <w:p w:rsidR="00945643" w:rsidRPr="00543483" w:rsidRDefault="00286790" w:rsidP="00F02475">
            <w:pPr>
              <w:pStyle w:val="ListParagraph"/>
            </w:pPr>
            <w:r>
              <w:t>Partial progress</w:t>
            </w:r>
            <w:r w:rsidR="004616B6" w:rsidRPr="00655BCF">
              <w:t xml:space="preserve">: a </w:t>
            </w:r>
            <w:r w:rsidR="00D448FC" w:rsidRPr="00655BCF">
              <w:t>formal centralised cost centre has been set up</w:t>
            </w:r>
            <w:r w:rsidR="004616B6" w:rsidRPr="00655BCF">
              <w:t xml:space="preserve"> for all employee workplace adjustment requests</w:t>
            </w:r>
            <w:r w:rsidR="002A7B17">
              <w:t xml:space="preserve">, and revisions made to the policy and process for workplace adjustments. </w:t>
            </w:r>
            <w:r>
              <w:t>A</w:t>
            </w:r>
            <w:r w:rsidR="002A7B17">
              <w:t>waiting final approval (December)</w:t>
            </w:r>
            <w:r w:rsidR="00335467" w:rsidRPr="00655BCF">
              <w:t xml:space="preserve">. </w:t>
            </w:r>
            <w:r w:rsidR="00543483" w:rsidRPr="00655BCF">
              <w:t>C</w:t>
            </w:r>
            <w:r w:rsidR="00335467" w:rsidRPr="00655BCF">
              <w:t xml:space="preserve">ommunications to staff </w:t>
            </w:r>
            <w:r w:rsidR="00AF1326" w:rsidRPr="00655BCF">
              <w:t xml:space="preserve">about this change in </w:t>
            </w:r>
            <w:r w:rsidR="004616B6" w:rsidRPr="00655BCF">
              <w:t xml:space="preserve">organisational </w:t>
            </w:r>
            <w:r w:rsidR="00655BCF" w:rsidRPr="00655BCF">
              <w:t xml:space="preserve">process and </w:t>
            </w:r>
            <w:r w:rsidR="00AF1326" w:rsidRPr="00655BCF">
              <w:t xml:space="preserve">practice </w:t>
            </w:r>
            <w:r w:rsidR="00335467" w:rsidRPr="00655BCF">
              <w:t xml:space="preserve">will be rolled out </w:t>
            </w:r>
            <w:r w:rsidR="00206929">
              <w:t>in</w:t>
            </w:r>
            <w:r w:rsidR="00335467" w:rsidRPr="00655BCF">
              <w:t xml:space="preserve"> 2020</w:t>
            </w:r>
            <w:r w:rsidR="004616B6" w:rsidRPr="00655BCF">
              <w:t xml:space="preserve"> to encourage adoption of this new practice</w:t>
            </w:r>
            <w:r w:rsidR="00335467" w:rsidRPr="00655BCF">
              <w:t>.</w:t>
            </w:r>
          </w:p>
        </w:tc>
      </w:tr>
      <w:tr w:rsidR="00945643" w:rsidRPr="00C53189" w:rsidTr="009945F1">
        <w:tc>
          <w:tcPr>
            <w:tcW w:w="2972" w:type="dxa"/>
            <w:tcBorders>
              <w:left w:val="single" w:sz="4" w:space="0" w:color="auto"/>
              <w:bottom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4.2</w:t>
            </w:r>
            <w:r w:rsidRPr="00D968BD">
              <w:rPr>
                <w:sz w:val="22"/>
              </w:rPr>
              <w:tab/>
              <w:t>Our employees are disability confident</w:t>
            </w:r>
          </w:p>
        </w:tc>
        <w:tc>
          <w:tcPr>
            <w:tcW w:w="6521" w:type="dxa"/>
            <w:tcBorders>
              <w:bottom w:val="single" w:sz="4" w:space="0" w:color="auto"/>
              <w:right w:val="single" w:sz="4" w:space="0" w:color="auto"/>
            </w:tcBorders>
            <w:tcMar>
              <w:left w:w="57" w:type="dxa"/>
              <w:right w:w="57" w:type="dxa"/>
            </w:tcMar>
          </w:tcPr>
          <w:p w:rsidR="00945643" w:rsidRPr="00543483" w:rsidRDefault="00945643" w:rsidP="009945F1">
            <w:pPr>
              <w:ind w:left="802" w:hanging="709"/>
              <w:rPr>
                <w:sz w:val="22"/>
              </w:rPr>
            </w:pPr>
            <w:r w:rsidRPr="00543483">
              <w:rPr>
                <w:sz w:val="22"/>
              </w:rPr>
              <w:t>4.2.1</w:t>
            </w:r>
            <w:r w:rsidRPr="00543483">
              <w:rPr>
                <w:sz w:val="22"/>
              </w:rPr>
              <w:tab/>
              <w:t>Increase employee disability confidence through development of an access and inclusion toolkit (delivery 2019-21)</w:t>
            </w:r>
          </w:p>
          <w:p w:rsidR="00543483" w:rsidRPr="00543483" w:rsidRDefault="00286790" w:rsidP="00F02475">
            <w:pPr>
              <w:pStyle w:val="ListParagraph"/>
            </w:pPr>
            <w:r>
              <w:t>Partial progress:</w:t>
            </w:r>
            <w:r w:rsidR="00543483" w:rsidRPr="00543483">
              <w:t xml:space="preserve"> </w:t>
            </w:r>
            <w:r>
              <w:t>c</w:t>
            </w:r>
            <w:r w:rsidR="00AF1326">
              <w:t xml:space="preserve">ommenced </w:t>
            </w:r>
            <w:r w:rsidR="00DC3FD2">
              <w:t>design</w:t>
            </w:r>
            <w:r w:rsidR="00543483">
              <w:t xml:space="preserve"> of an </w:t>
            </w:r>
            <w:r w:rsidR="00DC3FD2">
              <w:t>online</w:t>
            </w:r>
            <w:r w:rsidR="00543483">
              <w:t xml:space="preserve"> Accessibility and Disability toolkit for staff. Launch </w:t>
            </w:r>
            <w:r w:rsidR="00206929">
              <w:t>in</w:t>
            </w:r>
            <w:r w:rsidR="00AF1326">
              <w:t xml:space="preserve"> 2020</w:t>
            </w:r>
            <w:r w:rsidR="00543483">
              <w:t>.</w:t>
            </w:r>
          </w:p>
        </w:tc>
      </w:tr>
      <w:tr w:rsidR="00945643" w:rsidRPr="00C53189" w:rsidTr="009945F1">
        <w:tc>
          <w:tcPr>
            <w:tcW w:w="2972" w:type="dxa"/>
            <w:tcBorders>
              <w:left w:val="single" w:sz="4" w:space="0" w:color="auto"/>
              <w:bottom w:val="single" w:sz="4" w:space="0" w:color="auto"/>
              <w:right w:val="single" w:sz="4" w:space="0" w:color="auto"/>
            </w:tcBorders>
            <w:tcMar>
              <w:left w:w="57" w:type="dxa"/>
              <w:right w:w="57" w:type="dxa"/>
            </w:tcMar>
          </w:tcPr>
          <w:p w:rsidR="00945643" w:rsidRPr="00D968BD" w:rsidRDefault="00945643" w:rsidP="009945F1">
            <w:pPr>
              <w:ind w:left="507" w:hanging="425"/>
              <w:rPr>
                <w:b/>
                <w:color w:val="auto"/>
                <w:sz w:val="22"/>
              </w:rPr>
            </w:pPr>
            <w:r w:rsidRPr="00D968BD">
              <w:rPr>
                <w:sz w:val="22"/>
              </w:rPr>
              <w:t>4.3</w:t>
            </w:r>
            <w:r w:rsidRPr="00D968BD">
              <w:rPr>
                <w:sz w:val="22"/>
              </w:rPr>
              <w:tab/>
              <w:t>Our disability confidence is advanced through informed practices and data</w:t>
            </w:r>
          </w:p>
        </w:tc>
        <w:tc>
          <w:tcPr>
            <w:tcW w:w="6521" w:type="dxa"/>
            <w:tcBorders>
              <w:left w:val="single" w:sz="4" w:space="0" w:color="auto"/>
              <w:bottom w:val="single" w:sz="4" w:space="0" w:color="auto"/>
              <w:right w:val="single" w:sz="4" w:space="0" w:color="auto"/>
            </w:tcBorders>
            <w:tcMar>
              <w:left w:w="57" w:type="dxa"/>
              <w:right w:w="57" w:type="dxa"/>
            </w:tcMar>
          </w:tcPr>
          <w:p w:rsidR="00945643" w:rsidRDefault="00945643" w:rsidP="009945F1">
            <w:pPr>
              <w:ind w:left="802" w:hanging="709"/>
              <w:rPr>
                <w:sz w:val="22"/>
              </w:rPr>
            </w:pPr>
            <w:r w:rsidRPr="00D968BD">
              <w:rPr>
                <w:sz w:val="22"/>
              </w:rPr>
              <w:t>4.3.1</w:t>
            </w:r>
            <w:r w:rsidRPr="00D968BD">
              <w:rPr>
                <w:sz w:val="22"/>
              </w:rPr>
              <w:tab/>
              <w:t>Implement measures to monitor our level of disability confidence (delivery 2019-20)</w:t>
            </w:r>
          </w:p>
          <w:p w:rsidR="00945643" w:rsidRPr="002D6A30" w:rsidRDefault="00286790" w:rsidP="00F02475">
            <w:pPr>
              <w:pStyle w:val="ListParagraph"/>
              <w:rPr>
                <w:kern w:val="24"/>
              </w:rPr>
            </w:pPr>
            <w:r>
              <w:t xml:space="preserve">Partial progress: </w:t>
            </w:r>
            <w:r w:rsidRPr="00286790">
              <w:t>c</w:t>
            </w:r>
            <w:r w:rsidR="00655BCF" w:rsidRPr="00286790">
              <w:t xml:space="preserve">ommenced </w:t>
            </w:r>
            <w:r w:rsidR="00B96D65">
              <w:t xml:space="preserve">process </w:t>
            </w:r>
            <w:r w:rsidR="00655BCF" w:rsidRPr="00286790">
              <w:t>development</w:t>
            </w:r>
            <w:r w:rsidRPr="00286790">
              <w:t xml:space="preserve"> </w:t>
            </w:r>
            <w:r w:rsidR="00543483" w:rsidRPr="00B96D65">
              <w:t xml:space="preserve">to </w:t>
            </w:r>
            <w:r w:rsidR="00046447" w:rsidRPr="00B96D65">
              <w:t>enhance the</w:t>
            </w:r>
            <w:r w:rsidR="008A05EC" w:rsidRPr="00B96D65">
              <w:t xml:space="preserve"> </w:t>
            </w:r>
            <w:r w:rsidR="002D6A30" w:rsidRPr="00B96D65">
              <w:t>monitoring process</w:t>
            </w:r>
            <w:r w:rsidR="008A05EC" w:rsidRPr="00B96D65">
              <w:t xml:space="preserve"> </w:t>
            </w:r>
            <w:r w:rsidR="002D6A30" w:rsidRPr="00B96D65">
              <w:t>for</w:t>
            </w:r>
            <w:r w:rsidR="00543483" w:rsidRPr="00B96D65">
              <w:t xml:space="preserve"> implementation of workplace adjustment requests.</w:t>
            </w:r>
          </w:p>
        </w:tc>
      </w:tr>
    </w:tbl>
    <w:p w:rsidR="00945643" w:rsidRDefault="00945643" w:rsidP="00945643">
      <w:pPr>
        <w:rPr>
          <w:lang w:val="en-US"/>
        </w:rPr>
      </w:pPr>
      <w:r>
        <w:br w:type="page"/>
      </w:r>
    </w:p>
    <w:p w:rsidR="00945643" w:rsidRDefault="00945643" w:rsidP="00945643">
      <w:pPr>
        <w:pStyle w:val="Heading2"/>
      </w:pPr>
      <w:bookmarkStart w:id="12" w:name="_5._Governance_and"/>
      <w:bookmarkStart w:id="13" w:name="_Toc10796477"/>
      <w:bookmarkEnd w:id="12"/>
      <w:r>
        <w:lastRenderedPageBreak/>
        <w:t>5. Governance and communications</w:t>
      </w:r>
      <w:bookmarkEnd w:id="13"/>
    </w:p>
    <w:p w:rsidR="00945643" w:rsidRPr="00D968BD" w:rsidRDefault="00945643" w:rsidP="00945643">
      <w:pPr>
        <w:rPr>
          <w:sz w:val="22"/>
        </w:rPr>
      </w:pPr>
      <w:r w:rsidRPr="00D968BD">
        <w:rPr>
          <w:sz w:val="22"/>
        </w:rPr>
        <w:t xml:space="preserve">The table below outlines </w:t>
      </w:r>
      <w:r w:rsidR="00D968BD" w:rsidRPr="00D968BD">
        <w:rPr>
          <w:sz w:val="22"/>
        </w:rPr>
        <w:t xml:space="preserve">the status of 2019 actions aligned </w:t>
      </w:r>
      <w:r w:rsidRPr="00D968BD">
        <w:rPr>
          <w:sz w:val="22"/>
        </w:rPr>
        <w:t>with the aim of fostering good governance.</w:t>
      </w:r>
    </w:p>
    <w:p w:rsidR="00945643" w:rsidRPr="00A47A19" w:rsidRDefault="00945643" w:rsidP="00945643">
      <w:pPr>
        <w:pStyle w:val="TableandFigureHeading"/>
        <w:spacing w:after="120"/>
        <w:rPr>
          <w:i/>
          <w:color w:val="000000" w:themeColor="text1"/>
        </w:rPr>
      </w:pPr>
      <w:bookmarkStart w:id="14" w:name="_Toc5962071"/>
      <w:r w:rsidRPr="00A47A19">
        <w:rPr>
          <w:color w:val="000000" w:themeColor="text1"/>
        </w:rPr>
        <w:t xml:space="preserve">Table </w:t>
      </w:r>
      <w:r w:rsidR="00D968BD">
        <w:rPr>
          <w:color w:val="000000" w:themeColor="text1"/>
        </w:rPr>
        <w:t>5</w:t>
      </w:r>
      <w:r w:rsidRPr="00A47A19">
        <w:rPr>
          <w:color w:val="000000" w:themeColor="text1"/>
        </w:rPr>
        <w:t>: Governance and communications</w:t>
      </w:r>
      <w:bookmarkEnd w:id="14"/>
    </w:p>
    <w:tbl>
      <w:tblPr>
        <w:tblStyle w:val="TableGrid"/>
        <w:tblW w:w="0" w:type="auto"/>
        <w:tblCellMar>
          <w:top w:w="57" w:type="dxa"/>
          <w:bottom w:w="57" w:type="dxa"/>
        </w:tblCellMar>
        <w:tblLook w:val="04A0" w:firstRow="1" w:lastRow="0" w:firstColumn="1" w:lastColumn="0" w:noHBand="0" w:noVBand="1"/>
        <w:tblCaption w:val="Table 5: Governance and communications"/>
        <w:tblDescription w:val="Table 5: Governance and communications"/>
      </w:tblPr>
      <w:tblGrid>
        <w:gridCol w:w="2972"/>
        <w:gridCol w:w="6521"/>
      </w:tblGrid>
      <w:tr w:rsidR="00945643" w:rsidTr="009945F1">
        <w:trPr>
          <w:tblHeader/>
        </w:trPr>
        <w:tc>
          <w:tcPr>
            <w:tcW w:w="2972" w:type="dxa"/>
            <w:tcBorders>
              <w:bottom w:val="single" w:sz="4" w:space="0" w:color="auto"/>
            </w:tcBorders>
            <w:shd w:val="clear" w:color="auto" w:fill="811620"/>
            <w:tcMar>
              <w:left w:w="57" w:type="dxa"/>
              <w:right w:w="57" w:type="dxa"/>
            </w:tcMar>
          </w:tcPr>
          <w:p w:rsidR="00945643" w:rsidRPr="00D856DA" w:rsidRDefault="00945643" w:rsidP="009945F1">
            <w:pPr>
              <w:pStyle w:val="TableandFigureHeading"/>
            </w:pPr>
            <w:r w:rsidRPr="003A7186">
              <w:t>Principle</w:t>
            </w:r>
          </w:p>
        </w:tc>
        <w:tc>
          <w:tcPr>
            <w:tcW w:w="6521" w:type="dxa"/>
            <w:tcBorders>
              <w:bottom w:val="single" w:sz="4" w:space="0" w:color="auto"/>
            </w:tcBorders>
            <w:shd w:val="clear" w:color="auto" w:fill="811620"/>
            <w:tcMar>
              <w:left w:w="57" w:type="dxa"/>
              <w:right w:w="57" w:type="dxa"/>
            </w:tcMar>
          </w:tcPr>
          <w:p w:rsidR="00945643" w:rsidRDefault="00945643" w:rsidP="009945F1">
            <w:pPr>
              <w:pStyle w:val="TableandFigureHeading"/>
            </w:pPr>
            <w:r w:rsidRPr="003A7186">
              <w:t>Action</w:t>
            </w:r>
          </w:p>
        </w:tc>
      </w:tr>
      <w:tr w:rsidR="00945643" w:rsidRPr="00C53189" w:rsidTr="009945F1">
        <w:tc>
          <w:tcPr>
            <w:tcW w:w="2972" w:type="dxa"/>
            <w:tcBorders>
              <w:lef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5.1</w:t>
            </w:r>
            <w:r w:rsidRPr="00D968BD">
              <w:rPr>
                <w:sz w:val="22"/>
              </w:rPr>
              <w:tab/>
              <w:t xml:space="preserve">Access and Inclusion </w:t>
            </w:r>
            <w:r w:rsidRPr="00D968BD">
              <w:rPr>
                <w:sz w:val="22"/>
              </w:rPr>
              <w:br/>
              <w:t>is role-modelled by our Leadership</w:t>
            </w:r>
          </w:p>
        </w:tc>
        <w:tc>
          <w:tcPr>
            <w:tcW w:w="6521" w:type="dxa"/>
            <w:tcBorders>
              <w:right w:val="single" w:sz="4" w:space="0" w:color="auto"/>
            </w:tcBorders>
            <w:tcMar>
              <w:left w:w="57" w:type="dxa"/>
              <w:right w:w="57" w:type="dxa"/>
            </w:tcMar>
          </w:tcPr>
          <w:p w:rsidR="00945643" w:rsidRPr="00835F88" w:rsidRDefault="00945643" w:rsidP="009945F1">
            <w:pPr>
              <w:ind w:left="802" w:hanging="709"/>
              <w:rPr>
                <w:sz w:val="22"/>
              </w:rPr>
            </w:pPr>
            <w:r w:rsidRPr="00D968BD">
              <w:rPr>
                <w:sz w:val="22"/>
              </w:rPr>
              <w:t>5.1.1</w:t>
            </w:r>
            <w:r w:rsidRPr="00D968BD">
              <w:rPr>
                <w:sz w:val="22"/>
              </w:rPr>
              <w:tab/>
            </w:r>
            <w:r w:rsidRPr="00835F88">
              <w:rPr>
                <w:sz w:val="22"/>
              </w:rPr>
              <w:t>Appointment of an Executive Champion for Access and Inclusion within Council (delivery 2019)</w:t>
            </w:r>
          </w:p>
          <w:p w:rsidR="00335467" w:rsidRPr="00835F88" w:rsidRDefault="00335467" w:rsidP="00F02475">
            <w:pPr>
              <w:pStyle w:val="ListParagraph"/>
            </w:pPr>
            <w:r w:rsidRPr="00835F88">
              <w:t>Completed</w:t>
            </w:r>
            <w:r w:rsidR="007A6466">
              <w:t>.</w:t>
            </w:r>
          </w:p>
          <w:p w:rsidR="00335467" w:rsidRPr="00835F88" w:rsidRDefault="00335467" w:rsidP="00335467">
            <w:pPr>
              <w:ind w:left="93"/>
              <w:rPr>
                <w:sz w:val="22"/>
              </w:rPr>
            </w:pPr>
          </w:p>
          <w:p w:rsidR="00945643" w:rsidRPr="00835F88" w:rsidRDefault="00945643" w:rsidP="009945F1">
            <w:pPr>
              <w:ind w:left="802" w:hanging="709"/>
              <w:rPr>
                <w:sz w:val="22"/>
              </w:rPr>
            </w:pPr>
            <w:r w:rsidRPr="00835F88">
              <w:rPr>
                <w:sz w:val="22"/>
              </w:rPr>
              <w:t>5.1.2</w:t>
            </w:r>
            <w:r w:rsidRPr="00835F88">
              <w:rPr>
                <w:sz w:val="22"/>
              </w:rPr>
              <w:tab/>
              <w:t>Establish an internal Access and Inclusion project advisory group (delivery 2019)</w:t>
            </w:r>
          </w:p>
          <w:p w:rsidR="00335467" w:rsidRPr="00835F88" w:rsidRDefault="00335467" w:rsidP="00F02475">
            <w:pPr>
              <w:pStyle w:val="ListParagraph"/>
            </w:pPr>
            <w:r w:rsidRPr="00835F88">
              <w:t>Completed</w:t>
            </w:r>
            <w:r w:rsidR="007A6466">
              <w:t>.</w:t>
            </w:r>
          </w:p>
          <w:p w:rsidR="00335467" w:rsidRPr="00835F88" w:rsidRDefault="00335467" w:rsidP="00335467">
            <w:pPr>
              <w:ind w:left="802" w:hanging="709"/>
              <w:rPr>
                <w:sz w:val="22"/>
              </w:rPr>
            </w:pPr>
          </w:p>
          <w:p w:rsidR="00335467" w:rsidRDefault="00945643" w:rsidP="00335467">
            <w:pPr>
              <w:ind w:left="802" w:hanging="709"/>
              <w:rPr>
                <w:sz w:val="22"/>
              </w:rPr>
            </w:pPr>
            <w:r w:rsidRPr="00835F88">
              <w:rPr>
                <w:sz w:val="22"/>
              </w:rPr>
              <w:t>5.1.3</w:t>
            </w:r>
            <w:r w:rsidRPr="00835F88">
              <w:rPr>
                <w:sz w:val="22"/>
              </w:rPr>
              <w:tab/>
              <w:t>Explore opportunities to collaborate with other councils on establishing a community of practice for employees with disability to influence organisational best practice (delivery 2019)</w:t>
            </w:r>
          </w:p>
          <w:p w:rsidR="00335467" w:rsidRPr="00335467" w:rsidRDefault="00A51D8E" w:rsidP="00F02475">
            <w:pPr>
              <w:pStyle w:val="ListParagraph"/>
            </w:pPr>
            <w:r>
              <w:t xml:space="preserve">Partial </w:t>
            </w:r>
            <w:r w:rsidR="00B96D65">
              <w:t>progress</w:t>
            </w:r>
            <w:r w:rsidR="00F02475">
              <w:t xml:space="preserve">: </w:t>
            </w:r>
            <w:r w:rsidR="007A6466">
              <w:t>E</w:t>
            </w:r>
            <w:r w:rsidR="00335467" w:rsidRPr="00835F88">
              <w:t>xpressions of interests from employees and allies currently sought</w:t>
            </w:r>
            <w:r w:rsidR="00F02475">
              <w:t xml:space="preserve"> (December) and c</w:t>
            </w:r>
            <w:r w:rsidR="00335467" w:rsidRPr="00835F88">
              <w:t xml:space="preserve">ontact made with </w:t>
            </w:r>
            <w:r w:rsidR="00F02475">
              <w:t>several</w:t>
            </w:r>
            <w:r w:rsidR="00335467" w:rsidRPr="00835F88">
              <w:t xml:space="preserve"> other councils to scope a broader network.</w:t>
            </w:r>
            <w:r w:rsidR="00F02475">
              <w:t xml:space="preserve"> Plans for a meeting early 2020. </w:t>
            </w:r>
          </w:p>
        </w:tc>
      </w:tr>
      <w:tr w:rsidR="00945643" w:rsidRPr="00C53189" w:rsidTr="009945F1">
        <w:tc>
          <w:tcPr>
            <w:tcW w:w="2972" w:type="dxa"/>
            <w:tcBorders>
              <w:left w:val="single" w:sz="4" w:space="0" w:color="auto"/>
              <w:bottom w:val="single" w:sz="4" w:space="0" w:color="auto"/>
              <w:right w:val="single" w:sz="4" w:space="0" w:color="auto"/>
            </w:tcBorders>
            <w:tcMar>
              <w:left w:w="57" w:type="dxa"/>
              <w:right w:w="57" w:type="dxa"/>
            </w:tcMar>
          </w:tcPr>
          <w:p w:rsidR="00945643" w:rsidRPr="00D968BD" w:rsidRDefault="00945643" w:rsidP="009945F1">
            <w:pPr>
              <w:ind w:left="507" w:hanging="425"/>
              <w:rPr>
                <w:sz w:val="22"/>
              </w:rPr>
            </w:pPr>
            <w:r w:rsidRPr="00D968BD">
              <w:rPr>
                <w:sz w:val="22"/>
              </w:rPr>
              <w:t>5.2</w:t>
            </w:r>
            <w:r w:rsidRPr="00D968BD">
              <w:rPr>
                <w:sz w:val="22"/>
              </w:rPr>
              <w:tab/>
              <w:t>We commit to transparency and governance</w:t>
            </w:r>
          </w:p>
        </w:tc>
        <w:tc>
          <w:tcPr>
            <w:tcW w:w="6521" w:type="dxa"/>
            <w:tcBorders>
              <w:left w:val="single" w:sz="4" w:space="0" w:color="auto"/>
              <w:bottom w:val="single" w:sz="4" w:space="0" w:color="auto"/>
              <w:right w:val="single" w:sz="4" w:space="0" w:color="auto"/>
            </w:tcBorders>
            <w:tcMar>
              <w:left w:w="57" w:type="dxa"/>
              <w:right w:w="57" w:type="dxa"/>
            </w:tcMar>
          </w:tcPr>
          <w:p w:rsidR="00945643" w:rsidRPr="00835F88" w:rsidRDefault="00945643" w:rsidP="009945F1">
            <w:pPr>
              <w:ind w:left="802" w:hanging="709"/>
              <w:rPr>
                <w:sz w:val="22"/>
              </w:rPr>
            </w:pPr>
            <w:r w:rsidRPr="00835F88">
              <w:rPr>
                <w:sz w:val="22"/>
              </w:rPr>
              <w:t>5.2.1</w:t>
            </w:r>
            <w:r w:rsidRPr="00835F88">
              <w:rPr>
                <w:sz w:val="22"/>
              </w:rPr>
              <w:tab/>
              <w:t>Lodgement of the Access and Inclusion Plan with the Australian Human Rights Commission (delivery 2019)</w:t>
            </w:r>
          </w:p>
          <w:p w:rsidR="00335467" w:rsidRPr="00835F88" w:rsidRDefault="00335467" w:rsidP="00F02475">
            <w:pPr>
              <w:pStyle w:val="ListParagraph"/>
            </w:pPr>
            <w:r w:rsidRPr="00835F88">
              <w:t>Completed</w:t>
            </w:r>
            <w:r w:rsidR="007A6466">
              <w:t>.</w:t>
            </w:r>
          </w:p>
          <w:p w:rsidR="00835F88" w:rsidRPr="00835F88" w:rsidRDefault="00835F88" w:rsidP="00835F88">
            <w:pPr>
              <w:ind w:left="360"/>
              <w:rPr>
                <w:sz w:val="22"/>
              </w:rPr>
            </w:pPr>
          </w:p>
          <w:p w:rsidR="00945643" w:rsidRPr="00835F88" w:rsidRDefault="00945643" w:rsidP="009945F1">
            <w:pPr>
              <w:ind w:left="802" w:hanging="709"/>
              <w:rPr>
                <w:sz w:val="22"/>
              </w:rPr>
            </w:pPr>
            <w:r w:rsidRPr="00835F88">
              <w:rPr>
                <w:sz w:val="22"/>
              </w:rPr>
              <w:t>5.2.2</w:t>
            </w:r>
            <w:r w:rsidRPr="00835F88">
              <w:rPr>
                <w:sz w:val="22"/>
              </w:rPr>
              <w:tab/>
              <w:t>Our progress is reported in the Council annual report (delivery 2019-21)</w:t>
            </w:r>
          </w:p>
          <w:p w:rsidR="00335467" w:rsidRPr="00835F88" w:rsidRDefault="00335467" w:rsidP="00F02475">
            <w:pPr>
              <w:pStyle w:val="ListParagraph"/>
            </w:pPr>
            <w:r w:rsidRPr="00835F88">
              <w:t>Ongoing</w:t>
            </w:r>
            <w:r w:rsidR="007A6466">
              <w:t>.</w:t>
            </w:r>
          </w:p>
          <w:p w:rsidR="00835F88" w:rsidRPr="00835F88" w:rsidRDefault="00835F88" w:rsidP="00835F88">
            <w:pPr>
              <w:ind w:left="360"/>
              <w:rPr>
                <w:sz w:val="22"/>
              </w:rPr>
            </w:pPr>
          </w:p>
          <w:p w:rsidR="00945643" w:rsidRPr="00835F88" w:rsidRDefault="00945643" w:rsidP="009945F1">
            <w:pPr>
              <w:ind w:left="802" w:hanging="709"/>
              <w:rPr>
                <w:sz w:val="22"/>
              </w:rPr>
            </w:pPr>
            <w:r w:rsidRPr="00835F88">
              <w:rPr>
                <w:sz w:val="22"/>
              </w:rPr>
              <w:t>5.2.3</w:t>
            </w:r>
            <w:r w:rsidRPr="00835F88">
              <w:rPr>
                <w:sz w:val="22"/>
              </w:rPr>
              <w:tab/>
              <w:t>Progress on actions is reviewed twice yearly with the Access and Inclusion project advisory group (delivery 2019-21)</w:t>
            </w:r>
          </w:p>
          <w:p w:rsidR="00C64A11" w:rsidRDefault="00B96D65" w:rsidP="00B96D65">
            <w:pPr>
              <w:pStyle w:val="ListParagraph"/>
            </w:pPr>
            <w:r>
              <w:t>In progress</w:t>
            </w:r>
            <w:r w:rsidR="00737E61">
              <w:t>: t</w:t>
            </w:r>
            <w:r w:rsidR="00335467" w:rsidRPr="00835F88">
              <w:t>wo meetings held in 2019</w:t>
            </w:r>
            <w:r w:rsidR="007A6466">
              <w:t>.</w:t>
            </w:r>
          </w:p>
          <w:p w:rsidR="00206929" w:rsidRPr="00835F88" w:rsidRDefault="00206929" w:rsidP="00206929">
            <w:pPr>
              <w:ind w:left="453"/>
            </w:pPr>
          </w:p>
          <w:p w:rsidR="00945643" w:rsidRPr="00835F88" w:rsidRDefault="00945643" w:rsidP="009945F1">
            <w:pPr>
              <w:ind w:left="802" w:hanging="709"/>
              <w:rPr>
                <w:sz w:val="22"/>
              </w:rPr>
            </w:pPr>
            <w:r w:rsidRPr="00835F88">
              <w:rPr>
                <w:sz w:val="22"/>
              </w:rPr>
              <w:lastRenderedPageBreak/>
              <w:t>5.2.4</w:t>
            </w:r>
            <w:r w:rsidRPr="00835F88">
              <w:rPr>
                <w:sz w:val="22"/>
              </w:rPr>
              <w:tab/>
              <w:t>Host an annual forum for community members to review progress of our Access and Inclusion Plan (delivery 2019-21)</w:t>
            </w:r>
          </w:p>
          <w:p w:rsidR="00335467" w:rsidRPr="00D968BD" w:rsidRDefault="00F23C8D" w:rsidP="00F02475">
            <w:pPr>
              <w:pStyle w:val="ListParagraph"/>
            </w:pPr>
            <w:r>
              <w:t>Incomplete</w:t>
            </w:r>
            <w:r w:rsidR="002A7B17">
              <w:t>. No face</w:t>
            </w:r>
            <w:r w:rsidR="00E242D9">
              <w:t>-</w:t>
            </w:r>
            <w:r w:rsidR="002A7B17">
              <w:t>to</w:t>
            </w:r>
            <w:r w:rsidR="00E242D9">
              <w:t>-face forum in 2019.</w:t>
            </w:r>
            <w:r w:rsidR="00DC3FD2">
              <w:t xml:space="preserve"> Introduced</w:t>
            </w:r>
            <w:r w:rsidR="00335467" w:rsidRPr="00835F88">
              <w:t xml:space="preserve"> this status report</w:t>
            </w:r>
            <w:r w:rsidR="002A7B17">
              <w:t xml:space="preserve"> to provide information to the community on our progress to date</w:t>
            </w:r>
            <w:r w:rsidR="007A6466">
              <w:t xml:space="preserve"> with invitation to offer feedback to </w:t>
            </w:r>
            <w:r w:rsidR="00A51D8E">
              <w:t xml:space="preserve">council’s </w:t>
            </w:r>
            <w:r w:rsidR="007A6466">
              <w:t>Access Planner</w:t>
            </w:r>
            <w:r w:rsidR="00737E61">
              <w:t xml:space="preserve">. </w:t>
            </w:r>
          </w:p>
        </w:tc>
      </w:tr>
    </w:tbl>
    <w:p w:rsidR="00414DCD" w:rsidRPr="008F32FA" w:rsidRDefault="00414DCD" w:rsidP="00D968BD"/>
    <w:sectPr w:rsidR="00414DCD" w:rsidRPr="008F32FA" w:rsidSect="000E359E">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1E" w:rsidRDefault="008B7D1E" w:rsidP="004D04F4">
      <w:r>
        <w:separator/>
      </w:r>
    </w:p>
  </w:endnote>
  <w:endnote w:type="continuationSeparator" w:id="0">
    <w:p w:rsidR="008B7D1E" w:rsidRDefault="008B7D1E"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73" w:rsidRDefault="0070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7558"/>
      <w:docPartObj>
        <w:docPartGallery w:val="Page Numbers (Bottom of Page)"/>
        <w:docPartUnique/>
      </w:docPartObj>
    </w:sdtPr>
    <w:sdtEndPr>
      <w:rPr>
        <w:noProof/>
      </w:rPr>
    </w:sdtEndPr>
    <w:sdtContent>
      <w:p w:rsidR="002835CE" w:rsidRDefault="002835CE">
        <w:pPr>
          <w:pStyle w:val="Footer"/>
          <w:jc w:val="right"/>
          <w:rPr>
            <w:noProof/>
          </w:rPr>
        </w:pPr>
        <w:r>
          <w:fldChar w:fldCharType="begin"/>
        </w:r>
        <w:r>
          <w:instrText xml:space="preserve"> PAGE   \* MERGEFORMAT </w:instrText>
        </w:r>
        <w:r>
          <w:fldChar w:fldCharType="separate"/>
        </w:r>
        <w:r w:rsidR="00B81134">
          <w:rPr>
            <w:noProof/>
          </w:rPr>
          <w:t>2</w:t>
        </w:r>
        <w:r>
          <w:rPr>
            <w:noProof/>
          </w:rPr>
          <w:fldChar w:fldCharType="end"/>
        </w:r>
      </w:p>
      <w:p w:rsidR="002835CE" w:rsidRDefault="002835CE" w:rsidP="002835CE">
        <w:pPr>
          <w:pBdr>
            <w:bottom w:val="single" w:sz="6" w:space="1" w:color="auto"/>
          </w:pBdr>
        </w:pPr>
      </w:p>
      <w:p w:rsidR="002835CE" w:rsidRDefault="002835CE" w:rsidP="002835CE">
        <w:r>
          <w:rPr>
            <w:noProof/>
            <w:lang w:eastAsia="en-AU"/>
          </w:rPr>
          <w:drawing>
            <wp:inline distT="0" distB="0" distL="0" distR="0" wp14:anchorId="04F514F4" wp14:editId="4931833F">
              <wp:extent cx="4552950" cy="496428"/>
              <wp:effectExtent l="0" t="0" r="0" b="0"/>
              <wp:docPr id="6" name="Picture 6"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0B84E0FB" wp14:editId="03B7AF8A">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38D5F702" wp14:editId="0371D236">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409A03DC" wp14:editId="6F92E922">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7206B1DD" wp14:editId="05E2568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p w:rsidR="002835CE" w:rsidRDefault="00B81134">
        <w:pPr>
          <w:pStyle w:val="Footer"/>
          <w:jc w:val="right"/>
        </w:pPr>
      </w:p>
    </w:sdtContent>
  </w:sdt>
  <w:p w:rsidR="002835CE" w:rsidRDefault="002835CE" w:rsidP="009E4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D7" w:rsidRDefault="00D327D7" w:rsidP="00D327D7">
    <w:pPr>
      <w:pBdr>
        <w:bottom w:val="single" w:sz="6" w:space="1" w:color="auto"/>
      </w:pBdr>
    </w:pPr>
  </w:p>
  <w:p w:rsidR="00D327D7" w:rsidRDefault="00D327D7" w:rsidP="00D327D7">
    <w:r>
      <w:rPr>
        <w:noProof/>
        <w:lang w:eastAsia="en-AU"/>
      </w:rPr>
      <w:drawing>
        <wp:inline distT="0" distB="0" distL="0" distR="0" wp14:anchorId="1E68AE29" wp14:editId="30EE1BA2">
          <wp:extent cx="4552950" cy="496428"/>
          <wp:effectExtent l="0" t="0" r="0" b="0"/>
          <wp:docPr id="1" name="Picture 1"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39A6ED4B" wp14:editId="53EA2F1C">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A1E2F58" wp14:editId="530B2B91">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E934964" wp14:editId="23737ADD">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03D3BBD" wp14:editId="68299820">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1E" w:rsidRDefault="008B7D1E" w:rsidP="004D04F4">
      <w:r>
        <w:separator/>
      </w:r>
    </w:p>
  </w:footnote>
  <w:footnote w:type="continuationSeparator" w:id="0">
    <w:p w:rsidR="008B7D1E" w:rsidRDefault="008B7D1E"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73" w:rsidRDefault="00701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78" w:rsidRDefault="000E359E" w:rsidP="002135B1">
    <w:pPr>
      <w:ind w:left="-1134"/>
    </w:pPr>
    <w:r>
      <w:rPr>
        <w:noProof/>
        <w:lang w:eastAsia="en-AU"/>
      </w:rPr>
      <w:drawing>
        <wp:inline distT="0" distB="0" distL="0" distR="0" wp14:anchorId="6DBF908B" wp14:editId="691926DE">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9E" w:rsidRDefault="000E359E" w:rsidP="000E359E">
    <w:pPr>
      <w:pStyle w:val="Header"/>
      <w:ind w:left="-1134" w:right="-1134"/>
    </w:pPr>
    <w:r>
      <w:rPr>
        <w:noProof/>
        <w:lang w:eastAsia="en-AU"/>
      </w:rPr>
      <w:drawing>
        <wp:inline distT="0" distB="0" distL="0" distR="0" wp14:anchorId="571D905E" wp14:editId="24384981">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DC4"/>
    <w:multiLevelType w:val="hybridMultilevel"/>
    <w:tmpl w:val="1C78A326"/>
    <w:lvl w:ilvl="0" w:tplc="C0FC2774">
      <w:start w:val="1"/>
      <w:numFmt w:val="bullet"/>
      <w:lvlText w:val=""/>
      <w:lvlJc w:val="left"/>
      <w:pPr>
        <w:ind w:left="906" w:hanging="360"/>
      </w:pPr>
      <w:rPr>
        <w:rFonts w:ascii="Symbol" w:hAnsi="Symbol" w:hint="default"/>
      </w:rPr>
    </w:lvl>
    <w:lvl w:ilvl="1" w:tplc="0C090003">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7495C"/>
    <w:multiLevelType w:val="hybridMultilevel"/>
    <w:tmpl w:val="EF2ACD52"/>
    <w:lvl w:ilvl="0" w:tplc="64D2605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5B7668"/>
    <w:multiLevelType w:val="hybridMultilevel"/>
    <w:tmpl w:val="A852E36C"/>
    <w:lvl w:ilvl="0" w:tplc="2F10DE24">
      <w:start w:val="1"/>
      <w:numFmt w:val="bullet"/>
      <w:lvlText w:val=""/>
      <w:lvlJc w:val="left"/>
      <w:pPr>
        <w:ind w:left="813" w:hanging="360"/>
      </w:pPr>
      <w:rPr>
        <w:rFonts w:ascii="Symbol" w:hAnsi="Symbol" w:hint="default"/>
      </w:rPr>
    </w:lvl>
    <w:lvl w:ilvl="1" w:tplc="50C86ED2">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5" w15:restartNumberingAfterBreak="0">
    <w:nsid w:val="51C65C81"/>
    <w:multiLevelType w:val="hybridMultilevel"/>
    <w:tmpl w:val="01E2789C"/>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6"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7" w15:restartNumberingAfterBreak="0">
    <w:nsid w:val="6CC33F93"/>
    <w:multiLevelType w:val="hybridMultilevel"/>
    <w:tmpl w:val="843ECAA8"/>
    <w:lvl w:ilvl="0" w:tplc="C0FC2774">
      <w:start w:val="1"/>
      <w:numFmt w:val="bullet"/>
      <w:lvlText w:val=""/>
      <w:lvlJc w:val="left"/>
      <w:pPr>
        <w:ind w:left="906" w:hanging="360"/>
      </w:pPr>
      <w:rPr>
        <w:rFonts w:ascii="Symbol" w:hAnsi="Symbol" w:hint="default"/>
      </w:rPr>
    </w:lvl>
    <w:lvl w:ilvl="1" w:tplc="41D299D4">
      <w:numFmt w:val="bullet"/>
      <w:lvlText w:val="•"/>
      <w:lvlJc w:val="left"/>
      <w:pPr>
        <w:ind w:left="1533" w:hanging="360"/>
      </w:pPr>
      <w:rPr>
        <w:rFonts w:ascii="Arial" w:eastAsia="Times New Roman" w:hAnsi="Arial" w:cs="Arial"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8" w15:restartNumberingAfterBreak="0">
    <w:nsid w:val="7C6800A2"/>
    <w:multiLevelType w:val="hybridMultilevel"/>
    <w:tmpl w:val="3FC00E9E"/>
    <w:lvl w:ilvl="0" w:tplc="2BA0E264">
      <w:start w:val="1"/>
      <w:numFmt w:val="bullet"/>
      <w:pStyle w:val="ListParagraph"/>
      <w:lvlText w:val=""/>
      <w:lvlJc w:val="left"/>
      <w:pPr>
        <w:ind w:left="813" w:hanging="360"/>
      </w:pPr>
      <w:rPr>
        <w:rFonts w:ascii="Symbol" w:hAnsi="Symbol" w:hint="default"/>
      </w:rPr>
    </w:lvl>
    <w:lvl w:ilvl="1" w:tplc="287A5892">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3"/>
  </w:num>
  <w:num w:numId="6">
    <w:abstractNumId w:val="3"/>
  </w:num>
  <w:num w:numId="7">
    <w:abstractNumId w:val="3"/>
  </w:num>
  <w:num w:numId="8">
    <w:abstractNumId w:val="4"/>
  </w:num>
  <w:num w:numId="9">
    <w:abstractNumId w:val="4"/>
  </w:num>
  <w:num w:numId="10">
    <w:abstractNumId w:val="4"/>
  </w:num>
  <w:num w:numId="11">
    <w:abstractNumId w:val="4"/>
  </w:num>
  <w:num w:numId="12">
    <w:abstractNumId w:val="7"/>
  </w:num>
  <w:num w:numId="13">
    <w:abstractNumId w:val="0"/>
  </w:num>
  <w:num w:numId="14">
    <w:abstractNumId w:val="8"/>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1E"/>
    <w:rsid w:val="00017424"/>
    <w:rsid w:val="000331D3"/>
    <w:rsid w:val="00041484"/>
    <w:rsid w:val="00046447"/>
    <w:rsid w:val="000A40F4"/>
    <w:rsid w:val="000B6945"/>
    <w:rsid w:val="000E359E"/>
    <w:rsid w:val="000F1720"/>
    <w:rsid w:val="00110C81"/>
    <w:rsid w:val="0011519C"/>
    <w:rsid w:val="00123EB2"/>
    <w:rsid w:val="001524FB"/>
    <w:rsid w:val="001D3172"/>
    <w:rsid w:val="001E4399"/>
    <w:rsid w:val="001F2780"/>
    <w:rsid w:val="001F6F66"/>
    <w:rsid w:val="00206929"/>
    <w:rsid w:val="00206B82"/>
    <w:rsid w:val="002135B1"/>
    <w:rsid w:val="002275F8"/>
    <w:rsid w:val="0026204A"/>
    <w:rsid w:val="00262255"/>
    <w:rsid w:val="0026397D"/>
    <w:rsid w:val="002835CE"/>
    <w:rsid w:val="00286790"/>
    <w:rsid w:val="002A38C8"/>
    <w:rsid w:val="002A7B17"/>
    <w:rsid w:val="002D35F3"/>
    <w:rsid w:val="002D6A30"/>
    <w:rsid w:val="00310B76"/>
    <w:rsid w:val="00312A53"/>
    <w:rsid w:val="00332D98"/>
    <w:rsid w:val="00335467"/>
    <w:rsid w:val="00386629"/>
    <w:rsid w:val="003A41AC"/>
    <w:rsid w:val="003B4C10"/>
    <w:rsid w:val="003E03C2"/>
    <w:rsid w:val="003E382A"/>
    <w:rsid w:val="00402736"/>
    <w:rsid w:val="00414DCD"/>
    <w:rsid w:val="004201F9"/>
    <w:rsid w:val="004311FB"/>
    <w:rsid w:val="00441ABB"/>
    <w:rsid w:val="0044735A"/>
    <w:rsid w:val="004616B6"/>
    <w:rsid w:val="00465F07"/>
    <w:rsid w:val="00490B70"/>
    <w:rsid w:val="004D04F4"/>
    <w:rsid w:val="004E4E01"/>
    <w:rsid w:val="00543483"/>
    <w:rsid w:val="0054748F"/>
    <w:rsid w:val="00555212"/>
    <w:rsid w:val="005555D2"/>
    <w:rsid w:val="00556069"/>
    <w:rsid w:val="005562D0"/>
    <w:rsid w:val="005733AE"/>
    <w:rsid w:val="00574D45"/>
    <w:rsid w:val="005770ED"/>
    <w:rsid w:val="005F409C"/>
    <w:rsid w:val="00600F9C"/>
    <w:rsid w:val="006036A7"/>
    <w:rsid w:val="00614C4A"/>
    <w:rsid w:val="0062211A"/>
    <w:rsid w:val="006344AD"/>
    <w:rsid w:val="006359CE"/>
    <w:rsid w:val="006501C1"/>
    <w:rsid w:val="00655BCF"/>
    <w:rsid w:val="00656265"/>
    <w:rsid w:val="00656F41"/>
    <w:rsid w:val="00662C6A"/>
    <w:rsid w:val="00696630"/>
    <w:rsid w:val="006A042C"/>
    <w:rsid w:val="006D52E7"/>
    <w:rsid w:val="006F3BAB"/>
    <w:rsid w:val="006F78D0"/>
    <w:rsid w:val="00701F73"/>
    <w:rsid w:val="00717380"/>
    <w:rsid w:val="0073118F"/>
    <w:rsid w:val="00737E61"/>
    <w:rsid w:val="00796344"/>
    <w:rsid w:val="0079736C"/>
    <w:rsid w:val="007A019C"/>
    <w:rsid w:val="007A6466"/>
    <w:rsid w:val="007F5EF9"/>
    <w:rsid w:val="007F6187"/>
    <w:rsid w:val="00800773"/>
    <w:rsid w:val="00817D5F"/>
    <w:rsid w:val="0082433B"/>
    <w:rsid w:val="00834A4A"/>
    <w:rsid w:val="00835F88"/>
    <w:rsid w:val="008369A5"/>
    <w:rsid w:val="008428B6"/>
    <w:rsid w:val="00855406"/>
    <w:rsid w:val="00876819"/>
    <w:rsid w:val="00891B28"/>
    <w:rsid w:val="008A05EC"/>
    <w:rsid w:val="008A304C"/>
    <w:rsid w:val="008B7D1E"/>
    <w:rsid w:val="008F32FA"/>
    <w:rsid w:val="00932E06"/>
    <w:rsid w:val="00945643"/>
    <w:rsid w:val="00953923"/>
    <w:rsid w:val="00964956"/>
    <w:rsid w:val="00971FE5"/>
    <w:rsid w:val="009737A0"/>
    <w:rsid w:val="00993001"/>
    <w:rsid w:val="0099794F"/>
    <w:rsid w:val="009A0C4A"/>
    <w:rsid w:val="009E4C42"/>
    <w:rsid w:val="009F78F7"/>
    <w:rsid w:val="00A01C63"/>
    <w:rsid w:val="00A14BD9"/>
    <w:rsid w:val="00A23726"/>
    <w:rsid w:val="00A51D8E"/>
    <w:rsid w:val="00A86131"/>
    <w:rsid w:val="00A8704B"/>
    <w:rsid w:val="00A87D96"/>
    <w:rsid w:val="00A90375"/>
    <w:rsid w:val="00AA5B67"/>
    <w:rsid w:val="00AB2E8A"/>
    <w:rsid w:val="00AE280F"/>
    <w:rsid w:val="00AE4A2F"/>
    <w:rsid w:val="00AE668A"/>
    <w:rsid w:val="00AF1326"/>
    <w:rsid w:val="00B0015E"/>
    <w:rsid w:val="00B11BCB"/>
    <w:rsid w:val="00B12F2E"/>
    <w:rsid w:val="00B1304F"/>
    <w:rsid w:val="00B40725"/>
    <w:rsid w:val="00B61A84"/>
    <w:rsid w:val="00B701B6"/>
    <w:rsid w:val="00B74A65"/>
    <w:rsid w:val="00B81134"/>
    <w:rsid w:val="00B94D95"/>
    <w:rsid w:val="00B96D65"/>
    <w:rsid w:val="00BB0DCD"/>
    <w:rsid w:val="00BB6BA0"/>
    <w:rsid w:val="00C0542C"/>
    <w:rsid w:val="00C26CD9"/>
    <w:rsid w:val="00C52278"/>
    <w:rsid w:val="00C64A11"/>
    <w:rsid w:val="00CA4D0E"/>
    <w:rsid w:val="00D00834"/>
    <w:rsid w:val="00D05074"/>
    <w:rsid w:val="00D327D7"/>
    <w:rsid w:val="00D448FC"/>
    <w:rsid w:val="00D55BA4"/>
    <w:rsid w:val="00D750EF"/>
    <w:rsid w:val="00D968BD"/>
    <w:rsid w:val="00DB38C3"/>
    <w:rsid w:val="00DC3FD2"/>
    <w:rsid w:val="00DC77B8"/>
    <w:rsid w:val="00DD2F3B"/>
    <w:rsid w:val="00DF181C"/>
    <w:rsid w:val="00E04C16"/>
    <w:rsid w:val="00E242D9"/>
    <w:rsid w:val="00E431BC"/>
    <w:rsid w:val="00E547FB"/>
    <w:rsid w:val="00E708F7"/>
    <w:rsid w:val="00EB1EC7"/>
    <w:rsid w:val="00EC12E2"/>
    <w:rsid w:val="00ED316A"/>
    <w:rsid w:val="00EF269D"/>
    <w:rsid w:val="00EF3358"/>
    <w:rsid w:val="00EF57FD"/>
    <w:rsid w:val="00F02475"/>
    <w:rsid w:val="00F23A27"/>
    <w:rsid w:val="00F23C8D"/>
    <w:rsid w:val="00F26D0E"/>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F02475"/>
    <w:pPr>
      <w:numPr>
        <w:numId w:val="14"/>
      </w:numPr>
      <w:spacing w:after="0"/>
      <w:contextualSpacing/>
    </w:pPr>
    <w:rPr>
      <w:rFonts w:cstheme="minorBidi"/>
      <w:color w:val="auto"/>
      <w:sz w:val="22"/>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customStyle="1" w:styleId="TABLENORMAL0">
    <w:name w:val="TABLE NORMAL"/>
    <w:basedOn w:val="Normal"/>
    <w:qFormat/>
    <w:rsid w:val="00945643"/>
    <w:pPr>
      <w:tabs>
        <w:tab w:val="left" w:pos="-3060"/>
        <w:tab w:val="left" w:pos="-2340"/>
        <w:tab w:val="left" w:pos="6300"/>
      </w:tabs>
      <w:suppressAutoHyphens/>
      <w:spacing w:after="120" w:line="276" w:lineRule="auto"/>
    </w:pPr>
    <w:rPr>
      <w:rFonts w:eastAsia="Times New Roman"/>
      <w:bCs/>
      <w:noProof/>
      <w:color w:val="000000"/>
      <w:sz w:val="21"/>
      <w:szCs w:val="21"/>
      <w:lang w:eastAsia="en-AU"/>
    </w:rPr>
  </w:style>
  <w:style w:type="paragraph" w:customStyle="1" w:styleId="TableandFigureHeading">
    <w:name w:val="Table and Figure Heading"/>
    <w:basedOn w:val="Normal"/>
    <w:qFormat/>
    <w:rsid w:val="00945643"/>
    <w:pPr>
      <w:spacing w:after="0" w:line="276" w:lineRule="auto"/>
    </w:pPr>
    <w:rPr>
      <w:rFonts w:cstheme="minorBidi"/>
      <w:b/>
      <w:color w:val="FFFFFF" w:themeColor="background1"/>
      <w:sz w:val="21"/>
      <w:szCs w:val="21"/>
    </w:rPr>
  </w:style>
  <w:style w:type="character" w:styleId="Hyperlink">
    <w:name w:val="Hyperlink"/>
    <w:basedOn w:val="DefaultParagraphFont"/>
    <w:uiPriority w:val="99"/>
    <w:unhideWhenUsed/>
    <w:rsid w:val="00D968BD"/>
    <w:rPr>
      <w:color w:val="0563C1" w:themeColor="hyperlink"/>
      <w:u w:val="single"/>
    </w:rPr>
  </w:style>
  <w:style w:type="paragraph" w:styleId="BalloonText">
    <w:name w:val="Balloon Text"/>
    <w:basedOn w:val="Normal"/>
    <w:link w:val="BalloonTextChar"/>
    <w:uiPriority w:val="99"/>
    <w:semiHidden/>
    <w:unhideWhenUsed/>
    <w:rsid w:val="00A51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8E"/>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9438">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1690793790">
      <w:bodyDiv w:val="1"/>
      <w:marLeft w:val="0"/>
      <w:marRight w:val="0"/>
      <w:marTop w:val="0"/>
      <w:marBottom w:val="0"/>
      <w:divBdr>
        <w:top w:val="none" w:sz="0" w:space="0" w:color="auto"/>
        <w:left w:val="none" w:sz="0" w:space="0" w:color="auto"/>
        <w:bottom w:val="none" w:sz="0" w:space="0" w:color="auto"/>
        <w:right w:val="none" w:sz="0" w:space="0" w:color="auto"/>
      </w:divBdr>
    </w:div>
    <w:div w:id="1736859342">
      <w:bodyDiv w:val="1"/>
      <w:marLeft w:val="0"/>
      <w:marRight w:val="0"/>
      <w:marTop w:val="0"/>
      <w:marBottom w:val="0"/>
      <w:divBdr>
        <w:top w:val="none" w:sz="0" w:space="0" w:color="auto"/>
        <w:left w:val="none" w:sz="0" w:space="0" w:color="auto"/>
        <w:bottom w:val="none" w:sz="0" w:space="0" w:color="auto"/>
        <w:right w:val="none" w:sz="0" w:space="0" w:color="auto"/>
      </w:divBdr>
    </w:div>
    <w:div w:id="1810202596">
      <w:bodyDiv w:val="1"/>
      <w:marLeft w:val="0"/>
      <w:marRight w:val="0"/>
      <w:marTop w:val="0"/>
      <w:marBottom w:val="0"/>
      <w:divBdr>
        <w:top w:val="none" w:sz="0" w:space="0" w:color="auto"/>
        <w:left w:val="none" w:sz="0" w:space="0" w:color="auto"/>
        <w:bottom w:val="none" w:sz="0" w:space="0" w:color="auto"/>
        <w:right w:val="none" w:sz="0" w:space="0" w:color="auto"/>
      </w:divBdr>
    </w:div>
    <w:div w:id="1829318680">
      <w:bodyDiv w:val="1"/>
      <w:marLeft w:val="0"/>
      <w:marRight w:val="0"/>
      <w:marTop w:val="0"/>
      <w:marBottom w:val="0"/>
      <w:divBdr>
        <w:top w:val="none" w:sz="0" w:space="0" w:color="auto"/>
        <w:left w:val="none" w:sz="0" w:space="0" w:color="auto"/>
        <w:bottom w:val="none" w:sz="0" w:space="0" w:color="auto"/>
        <w:right w:val="none" w:sz="0" w:space="0" w:color="auto"/>
      </w:divBdr>
    </w:div>
    <w:div w:id="1851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rtphillip.vic.gov.au/access-inclusion-pla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Access and Inclusion Plan Interim Status Report 2019</dc:title>
  <dc:subject/>
  <dc:creator/>
  <cp:keywords/>
  <dc:description/>
  <cp:lastModifiedBy/>
  <cp:revision>1</cp:revision>
  <dcterms:created xsi:type="dcterms:W3CDTF">2020-01-27T23:14:00Z</dcterms:created>
  <dcterms:modified xsi:type="dcterms:W3CDTF">2020-01-27T23:15:00Z</dcterms:modified>
</cp:coreProperties>
</file>