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555"/>
        <w:gridCol w:w="7461"/>
      </w:tblGrid>
      <w:tr w:rsidR="003B2C4B" w:rsidRPr="00DD5ED6" w14:paraId="438891EA" w14:textId="77777777" w:rsidTr="003B2C4B">
        <w:tc>
          <w:tcPr>
            <w:tcW w:w="1555" w:type="dxa"/>
          </w:tcPr>
          <w:p w14:paraId="1D78A105" w14:textId="058DB53A" w:rsidR="003B2C4B" w:rsidRPr="00DD5ED6" w:rsidRDefault="003B2C4B" w:rsidP="003B2C4B">
            <w:pPr>
              <w:pStyle w:val="Default"/>
              <w:spacing w:before="120" w:after="120"/>
              <w:rPr>
                <w:b/>
                <w:bCs/>
                <w:sz w:val="22"/>
                <w:szCs w:val="22"/>
              </w:rPr>
            </w:pPr>
            <w:r w:rsidRPr="00DD5ED6">
              <w:rPr>
                <w:b/>
                <w:bCs/>
                <w:sz w:val="22"/>
                <w:szCs w:val="22"/>
              </w:rPr>
              <w:t xml:space="preserve">Type </w:t>
            </w:r>
          </w:p>
        </w:tc>
        <w:tc>
          <w:tcPr>
            <w:tcW w:w="7461" w:type="dxa"/>
          </w:tcPr>
          <w:p w14:paraId="37C60A5E" w14:textId="539A80A7" w:rsidR="003B2C4B" w:rsidRPr="00DD5ED6" w:rsidRDefault="003B2C4B" w:rsidP="003B2C4B">
            <w:pPr>
              <w:pStyle w:val="Default"/>
              <w:spacing w:before="120" w:after="120"/>
              <w:rPr>
                <w:sz w:val="22"/>
                <w:szCs w:val="22"/>
              </w:rPr>
            </w:pPr>
            <w:r w:rsidRPr="00DD5ED6">
              <w:rPr>
                <w:sz w:val="22"/>
                <w:szCs w:val="22"/>
              </w:rPr>
              <w:t>Advisory Committee</w:t>
            </w:r>
          </w:p>
        </w:tc>
      </w:tr>
      <w:tr w:rsidR="003B2C4B" w:rsidRPr="00DD5ED6" w14:paraId="06206D58" w14:textId="77777777" w:rsidTr="003B2C4B">
        <w:tc>
          <w:tcPr>
            <w:tcW w:w="1555" w:type="dxa"/>
          </w:tcPr>
          <w:p w14:paraId="695288B6" w14:textId="4D4FDD1F" w:rsidR="003B2C4B" w:rsidRPr="00DD5ED6" w:rsidRDefault="003B2C4B" w:rsidP="003B2C4B">
            <w:pPr>
              <w:pStyle w:val="Default"/>
              <w:spacing w:before="120" w:after="120"/>
              <w:rPr>
                <w:b/>
                <w:bCs/>
                <w:sz w:val="22"/>
                <w:szCs w:val="22"/>
              </w:rPr>
            </w:pPr>
            <w:r w:rsidRPr="00DD5ED6">
              <w:rPr>
                <w:b/>
                <w:bCs/>
                <w:sz w:val="22"/>
                <w:szCs w:val="22"/>
              </w:rPr>
              <w:t>Purpose:</w:t>
            </w:r>
          </w:p>
        </w:tc>
        <w:tc>
          <w:tcPr>
            <w:tcW w:w="7461" w:type="dxa"/>
          </w:tcPr>
          <w:p w14:paraId="1E538BA1" w14:textId="2CE21D9A" w:rsidR="003B2C4B" w:rsidRPr="00DD5ED6" w:rsidRDefault="003B2C4B" w:rsidP="003B2C4B">
            <w:pPr>
              <w:pStyle w:val="Default"/>
              <w:spacing w:before="120" w:after="120"/>
              <w:rPr>
                <w:b/>
                <w:bCs/>
                <w:sz w:val="22"/>
                <w:szCs w:val="22"/>
              </w:rPr>
            </w:pPr>
            <w:r w:rsidRPr="00DD5ED6">
              <w:rPr>
                <w:sz w:val="22"/>
                <w:szCs w:val="22"/>
              </w:rPr>
              <w:t xml:space="preserve">To provide advice and feedback to Council on matters that affect </w:t>
            </w:r>
            <w:bookmarkStart w:id="0" w:name="_Hlk77687089"/>
            <w:r w:rsidRPr="00DD5ED6">
              <w:rPr>
                <w:sz w:val="22"/>
                <w:szCs w:val="22"/>
              </w:rPr>
              <w:t>LGBTIQ</w:t>
            </w:r>
            <w:bookmarkEnd w:id="0"/>
            <w:r w:rsidR="00F276A2">
              <w:rPr>
                <w:sz w:val="22"/>
                <w:szCs w:val="22"/>
              </w:rPr>
              <w:t>A+</w:t>
            </w:r>
            <w:r w:rsidR="00DD5ED6">
              <w:rPr>
                <w:sz w:val="22"/>
                <w:szCs w:val="22"/>
              </w:rPr>
              <w:t xml:space="preserve"> </w:t>
            </w:r>
            <w:r w:rsidRPr="00DD5ED6">
              <w:rPr>
                <w:sz w:val="22"/>
                <w:szCs w:val="22"/>
              </w:rPr>
              <w:t>residents, businesses, and community members who live, work and visit the City</w:t>
            </w:r>
          </w:p>
        </w:tc>
      </w:tr>
      <w:tr w:rsidR="003B2C4B" w:rsidRPr="00DD5ED6" w14:paraId="342319CD" w14:textId="77777777" w:rsidTr="003B2C4B">
        <w:tc>
          <w:tcPr>
            <w:tcW w:w="1555" w:type="dxa"/>
          </w:tcPr>
          <w:p w14:paraId="250F71E2" w14:textId="114DB647" w:rsidR="003B2C4B" w:rsidRPr="00DD5ED6" w:rsidRDefault="003B2C4B" w:rsidP="003B2C4B">
            <w:pPr>
              <w:pStyle w:val="Default"/>
              <w:spacing w:before="120" w:after="120"/>
              <w:rPr>
                <w:b/>
                <w:bCs/>
                <w:sz w:val="22"/>
                <w:szCs w:val="22"/>
              </w:rPr>
            </w:pPr>
            <w:r w:rsidRPr="00DD5ED6">
              <w:rPr>
                <w:b/>
                <w:bCs/>
                <w:sz w:val="22"/>
                <w:szCs w:val="22"/>
              </w:rPr>
              <w:t>Objectives</w:t>
            </w:r>
          </w:p>
        </w:tc>
        <w:tc>
          <w:tcPr>
            <w:tcW w:w="7461" w:type="dxa"/>
          </w:tcPr>
          <w:p w14:paraId="3C653B9E" w14:textId="65596D14" w:rsidR="003B2C4B" w:rsidRPr="00DD5ED6" w:rsidRDefault="003B2C4B" w:rsidP="003B2C4B">
            <w:pPr>
              <w:pStyle w:val="Default"/>
              <w:spacing w:before="120" w:after="120"/>
              <w:rPr>
                <w:sz w:val="22"/>
                <w:szCs w:val="22"/>
              </w:rPr>
            </w:pPr>
            <w:r w:rsidRPr="00DD5ED6">
              <w:rPr>
                <w:sz w:val="22"/>
                <w:szCs w:val="22"/>
              </w:rPr>
              <w:t>The Committee</w:t>
            </w:r>
            <w:r w:rsidR="00D66FDB">
              <w:rPr>
                <w:sz w:val="22"/>
                <w:szCs w:val="22"/>
              </w:rPr>
              <w:t xml:space="preserve"> provides advice to Council</w:t>
            </w:r>
            <w:r w:rsidRPr="00DD5ED6">
              <w:rPr>
                <w:sz w:val="22"/>
                <w:szCs w:val="22"/>
              </w:rPr>
              <w:t>:</w:t>
            </w:r>
          </w:p>
          <w:p w14:paraId="12ACE0D0" w14:textId="7C35FDA9" w:rsidR="003B2C4B" w:rsidRPr="00146CE1" w:rsidRDefault="003B2C4B" w:rsidP="0076600D">
            <w:pPr>
              <w:pStyle w:val="Default"/>
              <w:numPr>
                <w:ilvl w:val="0"/>
                <w:numId w:val="9"/>
              </w:numPr>
              <w:spacing w:after="100" w:afterAutospacing="1"/>
              <w:rPr>
                <w:sz w:val="22"/>
                <w:szCs w:val="22"/>
              </w:rPr>
            </w:pPr>
            <w:r w:rsidRPr="00DD5ED6">
              <w:rPr>
                <w:sz w:val="22"/>
                <w:szCs w:val="22"/>
              </w:rPr>
              <w:t>on the development and implementation of the City of Port Philli</w:t>
            </w:r>
            <w:r w:rsidRPr="00146CE1">
              <w:rPr>
                <w:sz w:val="22"/>
                <w:szCs w:val="22"/>
              </w:rPr>
              <w:t>p</w:t>
            </w:r>
            <w:r w:rsidR="0076600D">
              <w:rPr>
                <w:sz w:val="22"/>
                <w:szCs w:val="22"/>
              </w:rPr>
              <w:t xml:space="preserve"> </w:t>
            </w:r>
            <w:r w:rsidRPr="00146CE1">
              <w:rPr>
                <w:sz w:val="22"/>
                <w:szCs w:val="22"/>
              </w:rPr>
              <w:t>LGBTIQ</w:t>
            </w:r>
            <w:r w:rsidR="006B5EE5">
              <w:rPr>
                <w:sz w:val="22"/>
                <w:szCs w:val="22"/>
              </w:rPr>
              <w:t>A</w:t>
            </w:r>
            <w:r w:rsidRPr="00146CE1">
              <w:rPr>
                <w:sz w:val="22"/>
                <w:szCs w:val="22"/>
              </w:rPr>
              <w:t>+ Action Plan</w:t>
            </w:r>
            <w:r w:rsidR="00DD5ED6" w:rsidRPr="00146CE1">
              <w:rPr>
                <w:sz w:val="22"/>
                <w:szCs w:val="22"/>
              </w:rPr>
              <w:t>.</w:t>
            </w:r>
          </w:p>
          <w:p w14:paraId="0D3938D3" w14:textId="636CCCFF" w:rsidR="003B2C4B" w:rsidRPr="00146CE1" w:rsidRDefault="003B2C4B" w:rsidP="0076600D">
            <w:pPr>
              <w:pStyle w:val="Default"/>
              <w:numPr>
                <w:ilvl w:val="0"/>
                <w:numId w:val="9"/>
              </w:numPr>
              <w:spacing w:after="100" w:afterAutospacing="1"/>
              <w:rPr>
                <w:sz w:val="22"/>
                <w:szCs w:val="22"/>
              </w:rPr>
            </w:pPr>
            <w:r w:rsidRPr="00146CE1">
              <w:rPr>
                <w:sz w:val="22"/>
                <w:szCs w:val="22"/>
              </w:rPr>
              <w:t>on policies, plans and services that impact the LGBTIQ</w:t>
            </w:r>
            <w:r w:rsidR="006B5EE5">
              <w:rPr>
                <w:sz w:val="22"/>
                <w:szCs w:val="22"/>
              </w:rPr>
              <w:t>A</w:t>
            </w:r>
            <w:r w:rsidRPr="00146CE1">
              <w:rPr>
                <w:sz w:val="22"/>
                <w:szCs w:val="22"/>
              </w:rPr>
              <w:t>+</w:t>
            </w:r>
            <w:r w:rsidR="0076600D">
              <w:rPr>
                <w:sz w:val="22"/>
                <w:szCs w:val="22"/>
              </w:rPr>
              <w:t xml:space="preserve"> </w:t>
            </w:r>
            <w:r w:rsidR="00DD5ED6" w:rsidRPr="00146CE1">
              <w:rPr>
                <w:sz w:val="22"/>
                <w:szCs w:val="22"/>
              </w:rPr>
              <w:t>communities.</w:t>
            </w:r>
            <w:r w:rsidRPr="00146CE1">
              <w:rPr>
                <w:sz w:val="22"/>
                <w:szCs w:val="22"/>
              </w:rPr>
              <w:t xml:space="preserve"> </w:t>
            </w:r>
          </w:p>
          <w:p w14:paraId="61C21BCB" w14:textId="23527270" w:rsidR="007728BA" w:rsidRDefault="003B2C4B" w:rsidP="0076600D">
            <w:pPr>
              <w:pStyle w:val="Default"/>
              <w:numPr>
                <w:ilvl w:val="0"/>
                <w:numId w:val="9"/>
              </w:numPr>
              <w:spacing w:after="100" w:afterAutospacing="1"/>
              <w:rPr>
                <w:sz w:val="22"/>
              </w:rPr>
            </w:pPr>
            <w:r w:rsidRPr="00146CE1">
              <w:rPr>
                <w:sz w:val="22"/>
              </w:rPr>
              <w:t xml:space="preserve">on </w:t>
            </w:r>
            <w:r w:rsidRPr="0076600D">
              <w:rPr>
                <w:sz w:val="22"/>
                <w:szCs w:val="22"/>
              </w:rPr>
              <w:t>matters</w:t>
            </w:r>
            <w:r w:rsidRPr="00146CE1">
              <w:rPr>
                <w:sz w:val="22"/>
              </w:rPr>
              <w:t xml:space="preserve"> affecting the needs, interests and well-being of the LGBTIQ</w:t>
            </w:r>
            <w:r w:rsidR="006B5EE5">
              <w:rPr>
                <w:sz w:val="22"/>
              </w:rPr>
              <w:t>A</w:t>
            </w:r>
            <w:r w:rsidRPr="00146CE1">
              <w:rPr>
                <w:sz w:val="22"/>
              </w:rPr>
              <w:t>+ communit</w:t>
            </w:r>
            <w:r w:rsidR="00DD5ED6" w:rsidRPr="00146CE1">
              <w:rPr>
                <w:sz w:val="22"/>
              </w:rPr>
              <w:t>ies</w:t>
            </w:r>
            <w:r w:rsidRPr="00146CE1">
              <w:rPr>
                <w:sz w:val="22"/>
              </w:rPr>
              <w:t>, including advocacy to other levels of</w:t>
            </w:r>
            <w:r w:rsidR="0076600D">
              <w:rPr>
                <w:sz w:val="22"/>
              </w:rPr>
              <w:t xml:space="preserve"> </w:t>
            </w:r>
            <w:r w:rsidRPr="00146CE1">
              <w:rPr>
                <w:sz w:val="22"/>
              </w:rPr>
              <w:t>government</w:t>
            </w:r>
          </w:p>
          <w:p w14:paraId="67459F09" w14:textId="2CFD0303" w:rsidR="003B2C4B" w:rsidRPr="007728BA" w:rsidRDefault="007728BA" w:rsidP="0076600D">
            <w:pPr>
              <w:pStyle w:val="Default"/>
              <w:numPr>
                <w:ilvl w:val="0"/>
                <w:numId w:val="9"/>
              </w:numPr>
              <w:spacing w:after="100" w:afterAutospacing="1"/>
              <w:rPr>
                <w:sz w:val="22"/>
              </w:rPr>
            </w:pPr>
            <w:r w:rsidRPr="007728BA">
              <w:rPr>
                <w:sz w:val="22"/>
              </w:rPr>
              <w:t>on matters that affect LGBTIQ</w:t>
            </w:r>
            <w:r w:rsidR="006B5EE5">
              <w:rPr>
                <w:sz w:val="22"/>
              </w:rPr>
              <w:t>A+</w:t>
            </w:r>
            <w:r w:rsidRPr="007728BA">
              <w:rPr>
                <w:sz w:val="22"/>
              </w:rPr>
              <w:t xml:space="preserve"> residents, businesses, creative organisations and community groups who live, work and visit the</w:t>
            </w:r>
            <w:r w:rsidR="0076600D">
              <w:rPr>
                <w:sz w:val="22"/>
              </w:rPr>
              <w:t xml:space="preserve"> </w:t>
            </w:r>
            <w:r w:rsidRPr="007728BA">
              <w:rPr>
                <w:sz w:val="22"/>
              </w:rPr>
              <w:t>City</w:t>
            </w:r>
          </w:p>
          <w:p w14:paraId="253D94D2" w14:textId="77777777" w:rsidR="0076600D" w:rsidRDefault="00DD5ED6" w:rsidP="0076600D">
            <w:pPr>
              <w:pStyle w:val="Default"/>
              <w:numPr>
                <w:ilvl w:val="0"/>
                <w:numId w:val="9"/>
              </w:numPr>
              <w:spacing w:after="100" w:afterAutospacing="1"/>
              <w:rPr>
                <w:sz w:val="22"/>
              </w:rPr>
            </w:pPr>
            <w:r w:rsidRPr="00146CE1">
              <w:rPr>
                <w:sz w:val="22"/>
              </w:rPr>
              <w:t>in relation to effective communication, engagement and consultation with LGBTIQA</w:t>
            </w:r>
            <w:r w:rsidR="00F276A2" w:rsidRPr="00146CE1">
              <w:rPr>
                <w:sz w:val="22"/>
              </w:rPr>
              <w:t>+ communities</w:t>
            </w:r>
            <w:r w:rsidRPr="00146CE1">
              <w:rPr>
                <w:sz w:val="22"/>
              </w:rPr>
              <w:t>.</w:t>
            </w:r>
          </w:p>
          <w:p w14:paraId="5C90A552" w14:textId="44C71A02" w:rsidR="007728BA" w:rsidRPr="0076600D" w:rsidRDefault="00146CE1" w:rsidP="0076600D">
            <w:pPr>
              <w:pStyle w:val="Default"/>
              <w:numPr>
                <w:ilvl w:val="0"/>
                <w:numId w:val="9"/>
              </w:numPr>
              <w:spacing w:after="100" w:afterAutospacing="1"/>
              <w:rPr>
                <w:sz w:val="22"/>
              </w:rPr>
            </w:pPr>
            <w:r w:rsidRPr="0076600D">
              <w:rPr>
                <w:sz w:val="20"/>
              </w:rPr>
              <w:t xml:space="preserve">on </w:t>
            </w:r>
            <w:r w:rsidR="00F276A2" w:rsidRPr="0076600D">
              <w:rPr>
                <w:sz w:val="20"/>
              </w:rPr>
              <w:t>any other matters referred to the Committee by Council</w:t>
            </w:r>
            <w:r w:rsidRPr="0076600D">
              <w:rPr>
                <w:sz w:val="20"/>
              </w:rPr>
              <w:t xml:space="preserve"> </w:t>
            </w:r>
          </w:p>
        </w:tc>
      </w:tr>
      <w:tr w:rsidR="003B2C4B" w:rsidRPr="00DD5ED6" w14:paraId="333F08BD" w14:textId="77777777" w:rsidTr="003B2C4B">
        <w:tc>
          <w:tcPr>
            <w:tcW w:w="1555" w:type="dxa"/>
          </w:tcPr>
          <w:p w14:paraId="41A18D3D" w14:textId="29FBED41" w:rsidR="003B2C4B" w:rsidRPr="00DD5ED6" w:rsidRDefault="003B2C4B" w:rsidP="003B2C4B">
            <w:pPr>
              <w:pStyle w:val="Default"/>
              <w:spacing w:before="120" w:after="120"/>
              <w:rPr>
                <w:b/>
                <w:bCs/>
                <w:sz w:val="22"/>
                <w:szCs w:val="22"/>
              </w:rPr>
            </w:pPr>
            <w:r w:rsidRPr="00DD5ED6">
              <w:rPr>
                <w:b/>
                <w:bCs/>
                <w:sz w:val="22"/>
                <w:szCs w:val="22"/>
              </w:rPr>
              <w:t>Membership</w:t>
            </w:r>
          </w:p>
        </w:tc>
        <w:tc>
          <w:tcPr>
            <w:tcW w:w="7461" w:type="dxa"/>
          </w:tcPr>
          <w:p w14:paraId="5EA4821B" w14:textId="77777777" w:rsidR="00410F6F" w:rsidRDefault="00DF6514" w:rsidP="00410F6F">
            <w:pPr>
              <w:pStyle w:val="Default"/>
              <w:tabs>
                <w:tab w:val="left" w:pos="596"/>
                <w:tab w:val="left" w:pos="764"/>
              </w:tabs>
              <w:spacing w:after="100" w:afterAutospacing="1"/>
              <w:rPr>
                <w:color w:val="auto"/>
                <w:sz w:val="16"/>
                <w:szCs w:val="16"/>
                <w:lang w:eastAsia="en-US"/>
              </w:rPr>
            </w:pPr>
            <w:r w:rsidRPr="00DF6514">
              <w:rPr>
                <w:sz w:val="22"/>
                <w:szCs w:val="22"/>
              </w:rPr>
              <w:t xml:space="preserve">The Committee is be made up of one Councillor and up to </w:t>
            </w:r>
            <w:r w:rsidR="00C54FBB">
              <w:rPr>
                <w:sz w:val="22"/>
                <w:szCs w:val="22"/>
              </w:rPr>
              <w:t>eleven</w:t>
            </w:r>
            <w:r w:rsidRPr="00DF6514">
              <w:rPr>
                <w:sz w:val="22"/>
                <w:szCs w:val="22"/>
              </w:rPr>
              <w:t xml:space="preserve"> community members. T</w:t>
            </w:r>
            <w:r w:rsidR="001B2032" w:rsidRPr="00DF6514">
              <w:rPr>
                <w:color w:val="auto"/>
                <w:sz w:val="22"/>
                <w:szCs w:val="22"/>
                <w:lang w:eastAsia="en-US"/>
              </w:rPr>
              <w:t>he composition of the Committee will be as follows</w:t>
            </w:r>
            <w:r w:rsidR="0095150A">
              <w:rPr>
                <w:color w:val="auto"/>
                <w:sz w:val="22"/>
                <w:szCs w:val="22"/>
                <w:lang w:eastAsia="en-US"/>
              </w:rPr>
              <w:t>:</w:t>
            </w:r>
          </w:p>
          <w:p w14:paraId="34FD963D" w14:textId="05586942" w:rsidR="001B2032" w:rsidRDefault="001B2032" w:rsidP="00410F6F">
            <w:pPr>
              <w:pStyle w:val="Default"/>
              <w:numPr>
                <w:ilvl w:val="0"/>
                <w:numId w:val="9"/>
              </w:numPr>
              <w:spacing w:after="100" w:afterAutospacing="1"/>
              <w:rPr>
                <w:sz w:val="22"/>
              </w:rPr>
            </w:pPr>
            <w:r w:rsidRPr="00DF6514">
              <w:rPr>
                <w:sz w:val="22"/>
              </w:rPr>
              <w:t>A Councillor appointed by the Council to act as a conduit to the current Council</w:t>
            </w:r>
            <w:r w:rsidR="00DD5ED6" w:rsidRPr="00DF6514">
              <w:rPr>
                <w:sz w:val="22"/>
              </w:rPr>
              <w:t>.</w:t>
            </w:r>
          </w:p>
          <w:p w14:paraId="59B4E555" w14:textId="77777777" w:rsidR="00410F6F" w:rsidRPr="00772901" w:rsidRDefault="00410F6F" w:rsidP="00410F6F">
            <w:pPr>
              <w:pStyle w:val="ListParagraph"/>
              <w:numPr>
                <w:ilvl w:val="0"/>
                <w:numId w:val="9"/>
              </w:numPr>
              <w:rPr>
                <w:rFonts w:cs="Arial"/>
                <w:sz w:val="22"/>
              </w:rPr>
            </w:pPr>
            <w:r w:rsidRPr="00772901">
              <w:rPr>
                <w:rFonts w:cs="Arial"/>
                <w:sz w:val="22"/>
              </w:rPr>
              <w:t>One nominee of the Pride Centre.</w:t>
            </w:r>
          </w:p>
          <w:p w14:paraId="0BCED00A" w14:textId="77777777" w:rsidR="00410F6F" w:rsidRPr="00772901" w:rsidRDefault="00410F6F" w:rsidP="00410F6F">
            <w:pPr>
              <w:pStyle w:val="ListParagraph"/>
              <w:numPr>
                <w:ilvl w:val="0"/>
                <w:numId w:val="9"/>
              </w:numPr>
              <w:rPr>
                <w:sz w:val="22"/>
              </w:rPr>
            </w:pPr>
            <w:r w:rsidRPr="00772901">
              <w:rPr>
                <w:sz w:val="22"/>
              </w:rPr>
              <w:t>One LGBTIQ</w:t>
            </w:r>
            <w:r>
              <w:rPr>
                <w:sz w:val="22"/>
              </w:rPr>
              <w:t>A</w:t>
            </w:r>
            <w:r w:rsidRPr="00772901">
              <w:rPr>
                <w:sz w:val="22"/>
              </w:rPr>
              <w:t>+ person from creative sector/industries</w:t>
            </w:r>
          </w:p>
          <w:p w14:paraId="180FC12A" w14:textId="77777777" w:rsidR="00410F6F" w:rsidRDefault="00410F6F" w:rsidP="00410F6F">
            <w:pPr>
              <w:pStyle w:val="ListParagraph"/>
              <w:numPr>
                <w:ilvl w:val="0"/>
                <w:numId w:val="9"/>
              </w:numPr>
              <w:rPr>
                <w:rFonts w:cs="Arial"/>
                <w:sz w:val="22"/>
              </w:rPr>
            </w:pPr>
            <w:r w:rsidRPr="00DF6514">
              <w:rPr>
                <w:rFonts w:cs="Arial"/>
                <w:sz w:val="22"/>
              </w:rPr>
              <w:t>One LGBTIQ</w:t>
            </w:r>
            <w:r>
              <w:rPr>
                <w:rFonts w:cs="Arial"/>
                <w:sz w:val="22"/>
              </w:rPr>
              <w:t>A</w:t>
            </w:r>
            <w:r w:rsidRPr="00DF6514">
              <w:rPr>
                <w:rFonts w:cs="Arial"/>
                <w:sz w:val="22"/>
              </w:rPr>
              <w:t>+ person who operates a business in the City</w:t>
            </w:r>
          </w:p>
          <w:p w14:paraId="2F721E35" w14:textId="13DE3F0F" w:rsidR="00410F6F" w:rsidRDefault="00410F6F" w:rsidP="00410F6F">
            <w:pPr>
              <w:pStyle w:val="ListParagraph"/>
              <w:numPr>
                <w:ilvl w:val="0"/>
                <w:numId w:val="9"/>
              </w:numPr>
              <w:rPr>
                <w:rFonts w:cs="Arial"/>
                <w:sz w:val="22"/>
              </w:rPr>
            </w:pPr>
            <w:r w:rsidRPr="00772901">
              <w:rPr>
                <w:rFonts w:cs="Arial"/>
                <w:sz w:val="22"/>
              </w:rPr>
              <w:t>Two representatives from community organisations that represent, work with or support Port Phillip’s LGBTIQ</w:t>
            </w:r>
            <w:r>
              <w:rPr>
                <w:rFonts w:cs="Arial"/>
                <w:sz w:val="22"/>
              </w:rPr>
              <w:t>A</w:t>
            </w:r>
            <w:r w:rsidRPr="00772901">
              <w:rPr>
                <w:rFonts w:cs="Arial"/>
                <w:sz w:val="22"/>
              </w:rPr>
              <w:t xml:space="preserve">+ communities.  </w:t>
            </w:r>
          </w:p>
          <w:p w14:paraId="6DB426BD" w14:textId="10D6DDB6" w:rsidR="001B2032" w:rsidRPr="00410F6F" w:rsidRDefault="00410F6F" w:rsidP="00410F6F">
            <w:pPr>
              <w:pStyle w:val="ListParagraph"/>
              <w:numPr>
                <w:ilvl w:val="0"/>
                <w:numId w:val="9"/>
              </w:numPr>
              <w:rPr>
                <w:rFonts w:cs="Arial"/>
                <w:sz w:val="22"/>
              </w:rPr>
            </w:pPr>
            <w:r>
              <w:rPr>
                <w:rFonts w:cs="Arial"/>
                <w:sz w:val="22"/>
              </w:rPr>
              <w:t xml:space="preserve">Up to six </w:t>
            </w:r>
            <w:r w:rsidRPr="00DF6514">
              <w:rPr>
                <w:rFonts w:cs="Arial"/>
                <w:sz w:val="22"/>
              </w:rPr>
              <w:t>other members from the LGBTIQ</w:t>
            </w:r>
            <w:r>
              <w:rPr>
                <w:rFonts w:cs="Arial"/>
                <w:sz w:val="22"/>
              </w:rPr>
              <w:t>A</w:t>
            </w:r>
            <w:r w:rsidRPr="00DF6514">
              <w:rPr>
                <w:rFonts w:cs="Arial"/>
                <w:sz w:val="22"/>
              </w:rPr>
              <w:t>+ community</w:t>
            </w:r>
            <w:r w:rsidRPr="00DD5ED6">
              <w:rPr>
                <w:rFonts w:cs="Arial"/>
                <w:sz w:val="22"/>
              </w:rPr>
              <w:t>.</w:t>
            </w:r>
          </w:p>
        </w:tc>
      </w:tr>
      <w:tr w:rsidR="003B2C4B" w:rsidRPr="00DD5ED6" w14:paraId="24FCF8B7" w14:textId="77777777" w:rsidTr="003B2C4B">
        <w:tc>
          <w:tcPr>
            <w:tcW w:w="1555" w:type="dxa"/>
          </w:tcPr>
          <w:p w14:paraId="4305976B" w14:textId="16A8A517" w:rsidR="003B2C4B" w:rsidRPr="00DD5ED6" w:rsidRDefault="00E86392" w:rsidP="003B2C4B">
            <w:pPr>
              <w:pStyle w:val="Default"/>
              <w:spacing w:before="120" w:after="120"/>
              <w:rPr>
                <w:b/>
                <w:bCs/>
                <w:sz w:val="22"/>
                <w:szCs w:val="22"/>
              </w:rPr>
            </w:pPr>
            <w:r w:rsidRPr="00DD5ED6">
              <w:rPr>
                <w:b/>
                <w:bCs/>
                <w:sz w:val="22"/>
                <w:szCs w:val="22"/>
              </w:rPr>
              <w:t>Committee Office Bearer Roles</w:t>
            </w:r>
          </w:p>
        </w:tc>
        <w:tc>
          <w:tcPr>
            <w:tcW w:w="7461" w:type="dxa"/>
          </w:tcPr>
          <w:p w14:paraId="04EF513D" w14:textId="77777777" w:rsidR="003B2C4B" w:rsidRPr="00DD5ED6" w:rsidRDefault="00E86392" w:rsidP="003B2C4B">
            <w:pPr>
              <w:pStyle w:val="Default"/>
              <w:spacing w:before="120" w:after="120"/>
              <w:rPr>
                <w:b/>
                <w:bCs/>
                <w:sz w:val="22"/>
                <w:szCs w:val="22"/>
              </w:rPr>
            </w:pPr>
            <w:r w:rsidRPr="00DD5ED6">
              <w:rPr>
                <w:sz w:val="22"/>
                <w:szCs w:val="22"/>
              </w:rPr>
              <w:t>The Committee will nominate a Chair and Deputy Chair from among its members.  The Chairperson will serve a one-year term, with the appointment renewable for an additional consecutive term</w:t>
            </w:r>
            <w:r w:rsidRPr="00DD5ED6">
              <w:rPr>
                <w:b/>
                <w:bCs/>
                <w:sz w:val="22"/>
                <w:szCs w:val="22"/>
              </w:rPr>
              <w:t>.</w:t>
            </w:r>
          </w:p>
          <w:p w14:paraId="488EAFD9" w14:textId="5B181443" w:rsidR="00E86392" w:rsidRPr="00DD5ED6" w:rsidRDefault="00E86392" w:rsidP="003B2C4B">
            <w:pPr>
              <w:pStyle w:val="Default"/>
              <w:spacing w:before="120" w:after="120"/>
              <w:rPr>
                <w:sz w:val="22"/>
                <w:szCs w:val="22"/>
              </w:rPr>
            </w:pPr>
            <w:r w:rsidRPr="00DD5ED6">
              <w:rPr>
                <w:sz w:val="22"/>
                <w:szCs w:val="22"/>
              </w:rPr>
              <w:t>The Chair will chair committee meetings. In the Chairs absence, the Deputy Chair or Councillor Representative will chair the meetings. The Councillor Representative, Chair or Deputy Chair are the authorised spokespersons for the committee.</w:t>
            </w:r>
          </w:p>
        </w:tc>
      </w:tr>
      <w:tr w:rsidR="003B2C4B" w:rsidRPr="00DD5ED6" w14:paraId="62861084" w14:textId="77777777" w:rsidTr="003B2C4B">
        <w:tc>
          <w:tcPr>
            <w:tcW w:w="1555" w:type="dxa"/>
          </w:tcPr>
          <w:p w14:paraId="143EF9AE" w14:textId="3568ED04" w:rsidR="003B2C4B" w:rsidRPr="00DD5ED6" w:rsidRDefault="003B2C4B" w:rsidP="003B2C4B">
            <w:pPr>
              <w:pStyle w:val="Default"/>
              <w:spacing w:before="120" w:after="120"/>
              <w:rPr>
                <w:b/>
                <w:bCs/>
                <w:sz w:val="22"/>
                <w:szCs w:val="22"/>
              </w:rPr>
            </w:pPr>
            <w:r w:rsidRPr="00DD5ED6">
              <w:rPr>
                <w:b/>
                <w:bCs/>
                <w:sz w:val="22"/>
                <w:szCs w:val="22"/>
              </w:rPr>
              <w:lastRenderedPageBreak/>
              <w:t xml:space="preserve">Selection Criteria </w:t>
            </w:r>
          </w:p>
        </w:tc>
        <w:tc>
          <w:tcPr>
            <w:tcW w:w="7461" w:type="dxa"/>
          </w:tcPr>
          <w:p w14:paraId="220A2DFC" w14:textId="5C136B85" w:rsidR="001B2032" w:rsidRDefault="001B2032" w:rsidP="001B2032">
            <w:pPr>
              <w:rPr>
                <w:rFonts w:cs="Arial"/>
                <w:sz w:val="22"/>
                <w:szCs w:val="22"/>
              </w:rPr>
            </w:pPr>
            <w:r w:rsidRPr="00DD5ED6">
              <w:rPr>
                <w:rFonts w:cs="Arial"/>
                <w:sz w:val="22"/>
                <w:szCs w:val="22"/>
              </w:rPr>
              <w:t>Nominees must work, study, or reside in the Port Phillip and they are selected on the basis of their:</w:t>
            </w:r>
          </w:p>
          <w:p w14:paraId="7010C1E7" w14:textId="77777777" w:rsidR="0095150A" w:rsidRPr="00DD5ED6" w:rsidRDefault="0095150A" w:rsidP="001B2032">
            <w:pPr>
              <w:rPr>
                <w:rFonts w:cs="Arial"/>
                <w:sz w:val="22"/>
                <w:szCs w:val="22"/>
              </w:rPr>
            </w:pPr>
          </w:p>
          <w:p w14:paraId="19A92C8B" w14:textId="0AC92B55" w:rsidR="003B2C4B" w:rsidRPr="00DD5ED6" w:rsidRDefault="003B2C4B" w:rsidP="003B2C4B">
            <w:pPr>
              <w:pStyle w:val="ListParagraph"/>
              <w:numPr>
                <w:ilvl w:val="0"/>
                <w:numId w:val="5"/>
              </w:numPr>
              <w:spacing w:after="0" w:line="240" w:lineRule="auto"/>
              <w:ind w:left="714" w:hanging="357"/>
              <w:contextualSpacing w:val="0"/>
              <w:rPr>
                <w:rFonts w:cs="Arial"/>
                <w:sz w:val="22"/>
              </w:rPr>
            </w:pPr>
            <w:r w:rsidRPr="00DD5ED6">
              <w:rPr>
                <w:rFonts w:cs="Arial"/>
                <w:sz w:val="22"/>
              </w:rPr>
              <w:t>identification as LGBTIQ</w:t>
            </w:r>
            <w:r w:rsidR="00B40671">
              <w:rPr>
                <w:rFonts w:cs="Arial"/>
                <w:sz w:val="22"/>
              </w:rPr>
              <w:t>A</w:t>
            </w:r>
            <w:r w:rsidRPr="00DD5ED6">
              <w:rPr>
                <w:rFonts w:cs="Arial"/>
                <w:sz w:val="22"/>
              </w:rPr>
              <w:t>+</w:t>
            </w:r>
          </w:p>
          <w:p w14:paraId="0A1EA060" w14:textId="62900A68" w:rsidR="003B2C4B" w:rsidRPr="00DD5ED6" w:rsidRDefault="003B2C4B" w:rsidP="003B2C4B">
            <w:pPr>
              <w:pStyle w:val="ListParagraph"/>
              <w:numPr>
                <w:ilvl w:val="0"/>
                <w:numId w:val="5"/>
              </w:numPr>
              <w:spacing w:after="0" w:line="240" w:lineRule="auto"/>
              <w:ind w:left="714" w:hanging="357"/>
              <w:contextualSpacing w:val="0"/>
              <w:rPr>
                <w:rFonts w:cs="Arial"/>
                <w:sz w:val="22"/>
              </w:rPr>
            </w:pPr>
            <w:r w:rsidRPr="00DD5ED6">
              <w:rPr>
                <w:rFonts w:cs="Arial"/>
                <w:sz w:val="22"/>
              </w:rPr>
              <w:t>capacity to consult with the LGBTIQ</w:t>
            </w:r>
            <w:r w:rsidR="00B40671">
              <w:rPr>
                <w:rFonts w:cs="Arial"/>
                <w:sz w:val="22"/>
              </w:rPr>
              <w:t>A</w:t>
            </w:r>
            <w:r w:rsidRPr="00DD5ED6">
              <w:rPr>
                <w:rFonts w:cs="Arial"/>
                <w:sz w:val="22"/>
              </w:rPr>
              <w:t>+ community and represent a wide range of views</w:t>
            </w:r>
          </w:p>
          <w:p w14:paraId="53FB281D" w14:textId="4AEC3044" w:rsidR="003B2C4B" w:rsidRPr="00DD5ED6" w:rsidRDefault="003B2C4B" w:rsidP="003B2C4B">
            <w:pPr>
              <w:pStyle w:val="ListParagraph"/>
              <w:numPr>
                <w:ilvl w:val="0"/>
                <w:numId w:val="5"/>
              </w:numPr>
              <w:spacing w:after="0" w:line="240" w:lineRule="auto"/>
              <w:ind w:left="714" w:hanging="357"/>
              <w:contextualSpacing w:val="0"/>
              <w:rPr>
                <w:rFonts w:cs="Arial"/>
                <w:sz w:val="22"/>
              </w:rPr>
            </w:pPr>
            <w:r w:rsidRPr="00DD5ED6">
              <w:rPr>
                <w:rFonts w:cs="Arial"/>
                <w:sz w:val="22"/>
              </w:rPr>
              <w:t>understanding of the needs of the LGBTIQ</w:t>
            </w:r>
            <w:r w:rsidR="00B40671">
              <w:rPr>
                <w:rFonts w:cs="Arial"/>
                <w:sz w:val="22"/>
              </w:rPr>
              <w:t>A</w:t>
            </w:r>
            <w:r w:rsidRPr="00DD5ED6">
              <w:rPr>
                <w:rFonts w:cs="Arial"/>
                <w:sz w:val="22"/>
              </w:rPr>
              <w:t>+ community</w:t>
            </w:r>
            <w:r w:rsidR="001F2472">
              <w:rPr>
                <w:rFonts w:cs="Arial"/>
                <w:sz w:val="22"/>
              </w:rPr>
              <w:t>.</w:t>
            </w:r>
          </w:p>
          <w:p w14:paraId="0C694EB4" w14:textId="62047D8A" w:rsidR="003B2C4B" w:rsidRPr="00DD5ED6" w:rsidRDefault="003B2C4B" w:rsidP="001B2032">
            <w:pPr>
              <w:pStyle w:val="ListParagraph"/>
              <w:numPr>
                <w:ilvl w:val="0"/>
                <w:numId w:val="5"/>
              </w:numPr>
              <w:spacing w:after="0" w:line="240" w:lineRule="auto"/>
              <w:ind w:left="714" w:hanging="357"/>
              <w:contextualSpacing w:val="0"/>
              <w:rPr>
                <w:rFonts w:cs="Arial"/>
                <w:sz w:val="22"/>
              </w:rPr>
            </w:pPr>
            <w:r w:rsidRPr="00DD5ED6">
              <w:rPr>
                <w:rFonts w:cs="Arial"/>
                <w:sz w:val="22"/>
              </w:rPr>
              <w:t>capacity to analyse information and provide advice on issues affecting the LGBTIQ</w:t>
            </w:r>
            <w:r w:rsidR="00B40671">
              <w:rPr>
                <w:rFonts w:cs="Arial"/>
                <w:sz w:val="22"/>
              </w:rPr>
              <w:t>A</w:t>
            </w:r>
            <w:r w:rsidRPr="00DD5ED6">
              <w:rPr>
                <w:rFonts w:cs="Arial"/>
                <w:sz w:val="22"/>
              </w:rPr>
              <w:t xml:space="preserve">+ community </w:t>
            </w:r>
          </w:p>
          <w:p w14:paraId="3EFCFF92" w14:textId="6150F2FE" w:rsidR="003B2C4B" w:rsidRPr="00DD5ED6" w:rsidRDefault="003B2C4B" w:rsidP="003B2C4B">
            <w:pPr>
              <w:spacing w:before="120" w:after="120"/>
              <w:rPr>
                <w:rFonts w:cs="Arial"/>
                <w:sz w:val="22"/>
                <w:szCs w:val="22"/>
              </w:rPr>
            </w:pPr>
            <w:r w:rsidRPr="00DD5ED6">
              <w:rPr>
                <w:rFonts w:cs="Arial"/>
                <w:sz w:val="22"/>
                <w:szCs w:val="22"/>
              </w:rPr>
              <w:t>As far as practicable, the composition of the community members will reflect the diversity of the LGBTIQ</w:t>
            </w:r>
            <w:r w:rsidR="00B40671">
              <w:rPr>
                <w:rFonts w:cs="Arial"/>
                <w:sz w:val="22"/>
                <w:szCs w:val="22"/>
              </w:rPr>
              <w:t>A</w:t>
            </w:r>
            <w:r w:rsidRPr="00DD5ED6">
              <w:rPr>
                <w:rFonts w:cs="Arial"/>
                <w:sz w:val="22"/>
                <w:szCs w:val="22"/>
              </w:rPr>
              <w:t>+ community including:</w:t>
            </w:r>
          </w:p>
          <w:p w14:paraId="0AE55604" w14:textId="77777777" w:rsidR="003B2C4B" w:rsidRPr="00DD5ED6" w:rsidRDefault="003B2C4B" w:rsidP="003B2C4B">
            <w:pPr>
              <w:pStyle w:val="ListParagraph"/>
              <w:numPr>
                <w:ilvl w:val="0"/>
                <w:numId w:val="5"/>
              </w:numPr>
              <w:spacing w:after="0" w:line="240" w:lineRule="auto"/>
              <w:ind w:left="714" w:hanging="357"/>
              <w:contextualSpacing w:val="0"/>
              <w:rPr>
                <w:rFonts w:cs="Arial"/>
                <w:sz w:val="22"/>
              </w:rPr>
            </w:pPr>
            <w:r w:rsidRPr="00DD5ED6">
              <w:rPr>
                <w:rFonts w:cs="Arial"/>
                <w:sz w:val="22"/>
              </w:rPr>
              <w:t>Aboriginal and Torres Strait Islander people</w:t>
            </w:r>
          </w:p>
          <w:p w14:paraId="1B217FFE" w14:textId="77777777" w:rsidR="003B2C4B" w:rsidRPr="00DD5ED6" w:rsidRDefault="003B2C4B" w:rsidP="003B2C4B">
            <w:pPr>
              <w:pStyle w:val="ListParagraph"/>
              <w:numPr>
                <w:ilvl w:val="0"/>
                <w:numId w:val="5"/>
              </w:numPr>
              <w:spacing w:after="0" w:line="240" w:lineRule="auto"/>
              <w:ind w:left="714" w:hanging="357"/>
              <w:contextualSpacing w:val="0"/>
              <w:rPr>
                <w:rFonts w:cs="Arial"/>
                <w:sz w:val="22"/>
              </w:rPr>
            </w:pPr>
            <w:r w:rsidRPr="00DD5ED6">
              <w:rPr>
                <w:rFonts w:cs="Arial"/>
                <w:sz w:val="22"/>
              </w:rPr>
              <w:t>people from Culturally and Linguistically Diverse (CALD) backgrounds</w:t>
            </w:r>
          </w:p>
          <w:p w14:paraId="6F37F103" w14:textId="77777777" w:rsidR="003B2C4B" w:rsidRPr="00DD5ED6" w:rsidRDefault="003B2C4B" w:rsidP="003B2C4B">
            <w:pPr>
              <w:pStyle w:val="ListParagraph"/>
              <w:numPr>
                <w:ilvl w:val="0"/>
                <w:numId w:val="5"/>
              </w:numPr>
              <w:spacing w:after="0" w:line="240" w:lineRule="auto"/>
              <w:ind w:left="714" w:hanging="357"/>
              <w:contextualSpacing w:val="0"/>
              <w:rPr>
                <w:rFonts w:cs="Arial"/>
                <w:sz w:val="22"/>
              </w:rPr>
            </w:pPr>
            <w:r w:rsidRPr="00DD5ED6">
              <w:rPr>
                <w:rFonts w:cs="Arial"/>
                <w:sz w:val="22"/>
              </w:rPr>
              <w:t xml:space="preserve">people with a disability </w:t>
            </w:r>
          </w:p>
          <w:p w14:paraId="5025F3B4" w14:textId="77777777" w:rsidR="003B2C4B" w:rsidRPr="00DD5ED6" w:rsidRDefault="003B2C4B" w:rsidP="003B2C4B">
            <w:pPr>
              <w:pStyle w:val="ListParagraph"/>
              <w:numPr>
                <w:ilvl w:val="0"/>
                <w:numId w:val="5"/>
              </w:numPr>
              <w:spacing w:after="0" w:line="240" w:lineRule="auto"/>
              <w:ind w:left="714" w:hanging="357"/>
              <w:contextualSpacing w:val="0"/>
              <w:rPr>
                <w:rFonts w:cs="Arial"/>
                <w:sz w:val="22"/>
              </w:rPr>
            </w:pPr>
            <w:r w:rsidRPr="00DD5ED6">
              <w:rPr>
                <w:rFonts w:cs="Arial"/>
                <w:sz w:val="22"/>
              </w:rPr>
              <w:t>people from variety of life stages</w:t>
            </w:r>
          </w:p>
          <w:p w14:paraId="4EFD3278" w14:textId="3DDF3562" w:rsidR="003B2C4B" w:rsidRPr="00DD5ED6" w:rsidRDefault="003B2C4B" w:rsidP="003B2C4B">
            <w:pPr>
              <w:pStyle w:val="ListParagraph"/>
              <w:numPr>
                <w:ilvl w:val="0"/>
                <w:numId w:val="5"/>
              </w:numPr>
              <w:spacing w:after="0" w:line="240" w:lineRule="auto"/>
              <w:ind w:left="714" w:hanging="357"/>
              <w:contextualSpacing w:val="0"/>
              <w:rPr>
                <w:rFonts w:cs="Arial"/>
                <w:sz w:val="22"/>
              </w:rPr>
            </w:pPr>
            <w:r w:rsidRPr="00DD5ED6">
              <w:rPr>
                <w:rFonts w:cs="Arial"/>
                <w:sz w:val="22"/>
              </w:rPr>
              <w:t xml:space="preserve">people from different locations across the municipality </w:t>
            </w:r>
          </w:p>
        </w:tc>
      </w:tr>
      <w:tr w:rsidR="003B2C4B" w:rsidRPr="00DD5ED6" w14:paraId="1ECE5F00" w14:textId="77777777" w:rsidTr="003B2C4B">
        <w:tc>
          <w:tcPr>
            <w:tcW w:w="1555" w:type="dxa"/>
          </w:tcPr>
          <w:p w14:paraId="4C347982" w14:textId="12CCC4C9" w:rsidR="003B2C4B" w:rsidRPr="00DD5ED6" w:rsidRDefault="003B2C4B" w:rsidP="003B2C4B">
            <w:pPr>
              <w:pStyle w:val="Default"/>
              <w:spacing w:before="120" w:after="120"/>
              <w:rPr>
                <w:b/>
                <w:bCs/>
                <w:sz w:val="22"/>
                <w:szCs w:val="22"/>
              </w:rPr>
            </w:pPr>
            <w:r w:rsidRPr="00DD5ED6">
              <w:rPr>
                <w:b/>
                <w:bCs/>
                <w:sz w:val="22"/>
                <w:szCs w:val="22"/>
              </w:rPr>
              <w:t>Meeting Frequency</w:t>
            </w:r>
          </w:p>
        </w:tc>
        <w:tc>
          <w:tcPr>
            <w:tcW w:w="7461" w:type="dxa"/>
          </w:tcPr>
          <w:p w14:paraId="1CDA8BE2" w14:textId="77777777" w:rsidR="001B2032" w:rsidRPr="00DD5ED6" w:rsidRDefault="001B2032" w:rsidP="001B2032">
            <w:pPr>
              <w:pStyle w:val="Default"/>
              <w:spacing w:before="120" w:after="120"/>
              <w:rPr>
                <w:sz w:val="22"/>
                <w:szCs w:val="22"/>
              </w:rPr>
            </w:pPr>
            <w:r w:rsidRPr="00DD5ED6">
              <w:rPr>
                <w:sz w:val="22"/>
                <w:szCs w:val="22"/>
              </w:rPr>
              <w:t xml:space="preserve">It is anticipated that the Advisory Committee will meet monthly for the first six months of its inception and then bi-monthly. </w:t>
            </w:r>
          </w:p>
          <w:p w14:paraId="14265D1A" w14:textId="07351CDF" w:rsidR="003B2C4B" w:rsidRPr="00DD5ED6" w:rsidRDefault="001B2032" w:rsidP="001B2032">
            <w:pPr>
              <w:pStyle w:val="Default"/>
              <w:spacing w:before="120" w:after="120"/>
              <w:rPr>
                <w:b/>
                <w:bCs/>
                <w:sz w:val="22"/>
                <w:szCs w:val="22"/>
              </w:rPr>
            </w:pPr>
            <w:r w:rsidRPr="00DD5ED6">
              <w:rPr>
                <w:sz w:val="22"/>
                <w:szCs w:val="22"/>
              </w:rPr>
              <w:t>The quorum for a meeting will be half the number of members.</w:t>
            </w:r>
          </w:p>
        </w:tc>
      </w:tr>
      <w:tr w:rsidR="00C87843" w:rsidRPr="00DD5ED6" w14:paraId="2CE6BD42" w14:textId="77777777" w:rsidTr="003B2C4B">
        <w:tc>
          <w:tcPr>
            <w:tcW w:w="1555" w:type="dxa"/>
          </w:tcPr>
          <w:p w14:paraId="707D0FF4" w14:textId="45C833BA" w:rsidR="00C87843" w:rsidRPr="00DD5ED6" w:rsidRDefault="00C87843" w:rsidP="003B2C4B">
            <w:pPr>
              <w:pStyle w:val="Default"/>
              <w:spacing w:before="120" w:after="120"/>
              <w:rPr>
                <w:b/>
                <w:bCs/>
                <w:sz w:val="22"/>
                <w:szCs w:val="22"/>
              </w:rPr>
            </w:pPr>
            <w:r w:rsidRPr="00C87843">
              <w:rPr>
                <w:b/>
                <w:bCs/>
                <w:sz w:val="22"/>
                <w:szCs w:val="22"/>
              </w:rPr>
              <w:t>Committee operation</w:t>
            </w:r>
          </w:p>
        </w:tc>
        <w:tc>
          <w:tcPr>
            <w:tcW w:w="7461" w:type="dxa"/>
          </w:tcPr>
          <w:p w14:paraId="1FD053A4" w14:textId="77777777" w:rsidR="00C87843" w:rsidRPr="00C87843" w:rsidRDefault="00C87843" w:rsidP="00C87843">
            <w:pPr>
              <w:pStyle w:val="Default"/>
              <w:spacing w:before="120" w:after="120"/>
              <w:rPr>
                <w:sz w:val="22"/>
                <w:szCs w:val="22"/>
              </w:rPr>
            </w:pPr>
            <w:r w:rsidRPr="00C87843">
              <w:rPr>
                <w:sz w:val="22"/>
                <w:szCs w:val="22"/>
              </w:rPr>
              <w:t xml:space="preserve">The committee will hold an annual planning session to review achievements and prioritise a work plan for the coming year. An Annual report will be presented to Council. </w:t>
            </w:r>
          </w:p>
          <w:p w14:paraId="1A3B4A2B" w14:textId="77777777" w:rsidR="00BA0B6F" w:rsidRDefault="00C87843" w:rsidP="00C87843">
            <w:pPr>
              <w:pStyle w:val="Default"/>
              <w:spacing w:before="120" w:after="120"/>
              <w:rPr>
                <w:sz w:val="22"/>
                <w:szCs w:val="22"/>
              </w:rPr>
            </w:pPr>
            <w:r w:rsidRPr="00C87843">
              <w:rPr>
                <w:sz w:val="22"/>
                <w:szCs w:val="22"/>
              </w:rPr>
              <w:t>The committee may set up working groups / portfolio groups as required, as ad hoc sub-committees.</w:t>
            </w:r>
            <w:r w:rsidR="00BA0B6F">
              <w:rPr>
                <w:sz w:val="22"/>
                <w:szCs w:val="22"/>
              </w:rPr>
              <w:t xml:space="preserve">  </w:t>
            </w:r>
          </w:p>
          <w:p w14:paraId="1AD44C4B" w14:textId="4AC729E9" w:rsidR="00C87843" w:rsidRDefault="00BA0B6F" w:rsidP="00C87843">
            <w:pPr>
              <w:pStyle w:val="Default"/>
              <w:spacing w:before="120" w:after="120"/>
              <w:rPr>
                <w:sz w:val="22"/>
                <w:szCs w:val="22"/>
              </w:rPr>
            </w:pPr>
            <w:r>
              <w:rPr>
                <w:sz w:val="22"/>
                <w:szCs w:val="22"/>
              </w:rPr>
              <w:t xml:space="preserve">The committee may nominate members to participate in sub-committees established by it or other Council Advisory Committees, to achieve intersectionality. </w:t>
            </w:r>
          </w:p>
          <w:p w14:paraId="54A6E158" w14:textId="77777777" w:rsidR="00C87843" w:rsidRDefault="00C87843" w:rsidP="00C87843">
            <w:pPr>
              <w:pStyle w:val="Default"/>
              <w:spacing w:before="120" w:after="120"/>
              <w:rPr>
                <w:sz w:val="22"/>
                <w:szCs w:val="22"/>
              </w:rPr>
            </w:pPr>
            <w:r w:rsidRPr="00C87843">
              <w:rPr>
                <w:sz w:val="22"/>
                <w:szCs w:val="22"/>
              </w:rPr>
              <w:t>If a member believes they have a conflict of interest in a matter before the Advisory Committee, then that member must declare their interest and not partake in any discussion or decision on the matter.</w:t>
            </w:r>
          </w:p>
          <w:p w14:paraId="08D9F709" w14:textId="3CB932F0" w:rsidR="001F2472" w:rsidRPr="00DD5ED6" w:rsidRDefault="00C87843" w:rsidP="00C87843">
            <w:pPr>
              <w:pStyle w:val="Default"/>
              <w:spacing w:before="120" w:after="120"/>
              <w:rPr>
                <w:sz w:val="22"/>
                <w:szCs w:val="22"/>
              </w:rPr>
            </w:pPr>
            <w:r w:rsidRPr="00C87843">
              <w:rPr>
                <w:sz w:val="22"/>
                <w:szCs w:val="22"/>
              </w:rPr>
              <w:t xml:space="preserve">City of Port Phillip staff nominated by management will support the Advisory Committee.  Other Port Phillip staff </w:t>
            </w:r>
            <w:r w:rsidR="001F2472">
              <w:rPr>
                <w:sz w:val="22"/>
                <w:szCs w:val="22"/>
              </w:rPr>
              <w:t xml:space="preserve">(for example, a nominated member of Council’s Pride Employee Network) </w:t>
            </w:r>
            <w:r w:rsidRPr="00C87843">
              <w:rPr>
                <w:sz w:val="22"/>
                <w:szCs w:val="22"/>
              </w:rPr>
              <w:t>will attend the meetings to assist the Committee as required.</w:t>
            </w:r>
            <w:r w:rsidR="001F2472">
              <w:rPr>
                <w:sz w:val="22"/>
                <w:szCs w:val="22"/>
              </w:rPr>
              <w:t xml:space="preserve"> </w:t>
            </w:r>
          </w:p>
        </w:tc>
      </w:tr>
    </w:tbl>
    <w:p w14:paraId="257CF123" w14:textId="4D883829" w:rsidR="003B2C4B" w:rsidRDefault="003B2C4B" w:rsidP="0095150A">
      <w:pPr>
        <w:rPr>
          <w:rFonts w:cs="Arial"/>
          <w:szCs w:val="22"/>
        </w:rPr>
      </w:pPr>
    </w:p>
    <w:sectPr w:rsidR="003B2C4B">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AA9C5" w14:textId="77777777" w:rsidR="00E173F6" w:rsidRDefault="00E173F6" w:rsidP="00845583">
      <w:r>
        <w:separator/>
      </w:r>
    </w:p>
  </w:endnote>
  <w:endnote w:type="continuationSeparator" w:id="0">
    <w:p w14:paraId="00E65D45" w14:textId="77777777" w:rsidR="00E173F6" w:rsidRDefault="00E173F6" w:rsidP="0084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01568" w14:textId="02A3DBE7" w:rsidR="00164933" w:rsidRDefault="00164933">
    <w:pPr>
      <w:pStyle w:val="Footer"/>
    </w:pPr>
    <w:r w:rsidRPr="009107B2">
      <w:rPr>
        <w:noProof/>
        <w:color w:val="FFFFFF" w:themeColor="background1"/>
        <w:lang w:eastAsia="en-AU"/>
      </w:rPr>
      <w:drawing>
        <wp:anchor distT="0" distB="0" distL="114300" distR="114300" simplePos="0" relativeHeight="251669504" behindDoc="1" locked="0" layoutInCell="1" allowOverlap="1" wp14:anchorId="6337E27D" wp14:editId="0FA51EE7">
          <wp:simplePos x="0" y="0"/>
          <wp:positionH relativeFrom="page">
            <wp:align>right</wp:align>
          </wp:positionH>
          <wp:positionV relativeFrom="page">
            <wp:posOffset>9516745</wp:posOffset>
          </wp:positionV>
          <wp:extent cx="7639050" cy="114808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Port_A4_botto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11480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4BC11" w14:textId="77777777" w:rsidR="00E173F6" w:rsidRDefault="00E173F6" w:rsidP="00845583">
      <w:r>
        <w:separator/>
      </w:r>
    </w:p>
  </w:footnote>
  <w:footnote w:type="continuationSeparator" w:id="0">
    <w:p w14:paraId="259DAE5D" w14:textId="77777777" w:rsidR="00E173F6" w:rsidRDefault="00E173F6" w:rsidP="0084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ED6E4" w14:textId="47F1BFC6" w:rsidR="00845583" w:rsidRDefault="00E173F6">
    <w:pPr>
      <w:pStyle w:val="Header"/>
    </w:pPr>
    <w:r>
      <w:rPr>
        <w:noProof/>
      </w:rPr>
      <w:pict w14:anchorId="0AD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02735"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63980" w14:textId="794E57B8" w:rsidR="00845583" w:rsidRDefault="005D68BD">
    <w:pPr>
      <w:pStyle w:val="Header"/>
    </w:pPr>
    <w:r>
      <w:rPr>
        <w:noProof/>
        <w:lang w:eastAsia="en-AU"/>
      </w:rPr>
      <mc:AlternateContent>
        <mc:Choice Requires="wps">
          <w:drawing>
            <wp:anchor distT="0" distB="0" distL="114300" distR="114300" simplePos="0" relativeHeight="251667456" behindDoc="0" locked="0" layoutInCell="1" allowOverlap="1" wp14:anchorId="59E10539" wp14:editId="4B9D2387">
              <wp:simplePos x="0" y="0"/>
              <wp:positionH relativeFrom="column">
                <wp:posOffset>-590550</wp:posOffset>
              </wp:positionH>
              <wp:positionV relativeFrom="paragraph">
                <wp:posOffset>-252730</wp:posOffset>
              </wp:positionV>
              <wp:extent cx="3522847" cy="1087186"/>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847" cy="1087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3D3FC" w14:textId="50D10091" w:rsidR="005D68BD" w:rsidRPr="003F00E4" w:rsidRDefault="00664608" w:rsidP="005D68BD">
                          <w:pPr>
                            <w:pStyle w:val="Default"/>
                            <w:spacing w:after="200"/>
                            <w:rPr>
                              <w:rFonts w:ascii="Gill Sans MT" w:hAnsi="Gill Sans MT"/>
                              <w:b/>
                              <w:bCs/>
                              <w:color w:val="FFFFFF" w:themeColor="background1"/>
                              <w:sz w:val="28"/>
                              <w:szCs w:val="28"/>
                            </w:rPr>
                          </w:pPr>
                          <w:r w:rsidRPr="00664608">
                            <w:rPr>
                              <w:rFonts w:ascii="Gill Sans MT" w:hAnsi="Gill Sans MT"/>
                              <w:b/>
                              <w:bCs/>
                              <w:color w:val="FFFFFF" w:themeColor="background1"/>
                              <w:sz w:val="28"/>
                              <w:szCs w:val="28"/>
                            </w:rPr>
                            <w:t xml:space="preserve">LGBTIQA+ </w:t>
                          </w:r>
                          <w:r w:rsidR="00164933">
                            <w:rPr>
                              <w:rFonts w:ascii="Gill Sans MT" w:hAnsi="Gill Sans MT"/>
                              <w:b/>
                              <w:bCs/>
                              <w:color w:val="FFFFFF" w:themeColor="background1"/>
                              <w:sz w:val="28"/>
                              <w:szCs w:val="28"/>
                            </w:rPr>
                            <w:t xml:space="preserve">ADVISORY </w:t>
                          </w:r>
                          <w:r w:rsidR="005D68BD" w:rsidRPr="003F00E4">
                            <w:rPr>
                              <w:rFonts w:ascii="Gill Sans MT" w:hAnsi="Gill Sans MT"/>
                              <w:b/>
                              <w:bCs/>
                              <w:color w:val="FFFFFF" w:themeColor="background1"/>
                              <w:sz w:val="28"/>
                              <w:szCs w:val="28"/>
                            </w:rPr>
                            <w:t>COMMITTEE</w:t>
                          </w:r>
                          <w:r w:rsidR="00164933">
                            <w:rPr>
                              <w:rFonts w:ascii="Gill Sans MT" w:hAnsi="Gill Sans MT"/>
                              <w:b/>
                              <w:bCs/>
                              <w:color w:val="FFFFFF" w:themeColor="background1"/>
                              <w:sz w:val="28"/>
                              <w:szCs w:val="28"/>
                            </w:rPr>
                            <w:t xml:space="preserve"> </w:t>
                          </w:r>
                        </w:p>
                        <w:p w14:paraId="0D685A6B" w14:textId="77777777" w:rsidR="005D68BD" w:rsidRPr="003F00E4" w:rsidRDefault="005D68BD" w:rsidP="005D68BD">
                          <w:pPr>
                            <w:jc w:val="both"/>
                            <w:rPr>
                              <w:rFonts w:ascii="Gill Sans MT" w:hAnsi="Gill Sans MT"/>
                              <w:color w:val="FFFFFF" w:themeColor="background1"/>
                              <w:sz w:val="28"/>
                              <w:szCs w:val="28"/>
                            </w:rPr>
                          </w:pPr>
                          <w:r w:rsidRPr="003F00E4">
                            <w:rPr>
                              <w:rFonts w:ascii="Gill Sans MT" w:hAnsi="Gill Sans MT"/>
                              <w:b/>
                              <w:bCs/>
                              <w:color w:val="FFFFFF" w:themeColor="background1"/>
                              <w:sz w:val="28"/>
                              <w:szCs w:val="28"/>
                            </w:rPr>
                            <w:t>TERMS OF REFERENCE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10539" id="_x0000_t202" coordsize="21600,21600" o:spt="202" path="m,l,21600r21600,l21600,xe">
              <v:stroke joinstyle="miter"/>
              <v:path gradientshapeok="t" o:connecttype="rect"/>
            </v:shapetype>
            <v:shape id="Text Box 4" o:spid="_x0000_s1026" type="#_x0000_t202" style="position:absolute;margin-left:-46.5pt;margin-top:-19.9pt;width:277.4pt;height:8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W7wEAAMcDAAAOAAAAZHJzL2Uyb0RvYy54bWysU9tu2zAMfR+wfxD0vtjOsjY14hRdiw4D&#10;ugvQ7gMYWY6F2aJGKbGzrx8lp1m6vQ17MUSKOjznkF5dj30n9pq8QVvJYpZLoa3C2thtJb893b9Z&#10;SuED2Bo6tLqSB+3l9fr1q9XgSj3HFrtak2AQ68vBVbINwZVZ5lWre/AzdNryZYPUQ+CQtllNMDB6&#10;32XzPL/IBqTaESrtPWfvpku5TvhNo1X40jReB9FVkrmF9KX03cRvtl5BuSVwrVFHGvAPLHowlpue&#10;oO4ggNiR+QuqN4rQYxNmCvsMm8YonTSwmiL/Q81jC04nLWyOdyeb/P+DVZ/3X0mYupILKSz0PKIn&#10;PQbxHkexiO4Mzpdc9Oi4LIyc5iknpd49oPruhcXbFuxW3xDh0GqomV0RX2ZnTyccH0E2wyesuQ3s&#10;AiagsaE+WsdmCEbnKR1Ok4lUFCffvpvPl4tLKRTfFfnyslhepB5QPj935MMHjb2Ih0oSjz7Bw/7B&#10;h0gHyueS2M3ivem6NP7OvkhwYcwk+pHxxD2Mm/FoxwbrAwshnLaJt58PLdJPKQbepEr6HzsgLUX3&#10;0bIZV8ViEVfvPKDzYHMegFUMVckgxXS8DdO67hyZbcudJvst3rCBjUnSotMTqyNv3pak+LjZcR3P&#10;41T1+/9b/wIAAP//AwBQSwMEFAAGAAgAAAAhAGkPvJDeAAAACwEAAA8AAABkcnMvZG93bnJldi54&#10;bWxMj81OwzAQhO9IvIO1SNxaJ6T0J8SpUBEPQEHi6sTbJMJeR7HzQ5+e5QS3Ge2n2ZniuDgrJhxC&#10;50lBuk5AINXedNQo+Hh/Xe1BhKjJaOsJFXxjgGN5e1Po3PiZ3nA6x0ZwCIVcK2hj7HMpQ92i02Ht&#10;eyS+XfzgdGQ7NNIMeuZwZ+VDkmyl0x3xh1b3eGqx/jqPTkF9HV/2p66a5uvuc1ctrX28kFXq/m55&#10;fgIRcYl/MPzW5+pQcqfKj2SCsApWh4y3RBbZgTcwsdmmLCpGs3QDsizk/w3lDwAAAP//AwBQSwEC&#10;LQAUAAYACAAAACEAtoM4kv4AAADhAQAAEwAAAAAAAAAAAAAAAAAAAAAAW0NvbnRlbnRfVHlwZXNd&#10;LnhtbFBLAQItABQABgAIAAAAIQA4/SH/1gAAAJQBAAALAAAAAAAAAAAAAAAAAC8BAABfcmVscy8u&#10;cmVsc1BLAQItABQABgAIAAAAIQBH/NHW7wEAAMcDAAAOAAAAAAAAAAAAAAAAAC4CAABkcnMvZTJv&#10;RG9jLnhtbFBLAQItABQABgAIAAAAIQBpD7yQ3gAAAAsBAAAPAAAAAAAAAAAAAAAAAEkEAABkcnMv&#10;ZG93bnJldi54bWxQSwUGAAAAAAQABADzAAAAVAUAAAAA&#10;" filled="f" stroked="f">
              <v:textbox inset=",7.2pt,,7.2pt">
                <w:txbxContent>
                  <w:p w14:paraId="6583D3FC" w14:textId="50D10091" w:rsidR="005D68BD" w:rsidRPr="003F00E4" w:rsidRDefault="00664608" w:rsidP="005D68BD">
                    <w:pPr>
                      <w:pStyle w:val="Default"/>
                      <w:spacing w:after="200"/>
                      <w:rPr>
                        <w:rFonts w:ascii="Gill Sans MT" w:hAnsi="Gill Sans MT"/>
                        <w:b/>
                        <w:bCs/>
                        <w:color w:val="FFFFFF" w:themeColor="background1"/>
                        <w:sz w:val="28"/>
                        <w:szCs w:val="28"/>
                      </w:rPr>
                    </w:pPr>
                    <w:r w:rsidRPr="00664608">
                      <w:rPr>
                        <w:rFonts w:ascii="Gill Sans MT" w:hAnsi="Gill Sans MT"/>
                        <w:b/>
                        <w:bCs/>
                        <w:color w:val="FFFFFF" w:themeColor="background1"/>
                        <w:sz w:val="28"/>
                        <w:szCs w:val="28"/>
                      </w:rPr>
                      <w:t xml:space="preserve">LGBTIQA+ </w:t>
                    </w:r>
                    <w:r w:rsidR="00164933">
                      <w:rPr>
                        <w:rFonts w:ascii="Gill Sans MT" w:hAnsi="Gill Sans MT"/>
                        <w:b/>
                        <w:bCs/>
                        <w:color w:val="FFFFFF" w:themeColor="background1"/>
                        <w:sz w:val="28"/>
                        <w:szCs w:val="28"/>
                      </w:rPr>
                      <w:t xml:space="preserve">ADVISORY </w:t>
                    </w:r>
                    <w:r w:rsidR="005D68BD" w:rsidRPr="003F00E4">
                      <w:rPr>
                        <w:rFonts w:ascii="Gill Sans MT" w:hAnsi="Gill Sans MT"/>
                        <w:b/>
                        <w:bCs/>
                        <w:color w:val="FFFFFF" w:themeColor="background1"/>
                        <w:sz w:val="28"/>
                        <w:szCs w:val="28"/>
                      </w:rPr>
                      <w:t>COMMITTEE</w:t>
                    </w:r>
                    <w:r w:rsidR="00164933">
                      <w:rPr>
                        <w:rFonts w:ascii="Gill Sans MT" w:hAnsi="Gill Sans MT"/>
                        <w:b/>
                        <w:bCs/>
                        <w:color w:val="FFFFFF" w:themeColor="background1"/>
                        <w:sz w:val="28"/>
                        <w:szCs w:val="28"/>
                      </w:rPr>
                      <w:t xml:space="preserve"> </w:t>
                    </w:r>
                  </w:p>
                  <w:p w14:paraId="0D685A6B" w14:textId="77777777" w:rsidR="005D68BD" w:rsidRPr="003F00E4" w:rsidRDefault="005D68BD" w:rsidP="005D68BD">
                    <w:pPr>
                      <w:jc w:val="both"/>
                      <w:rPr>
                        <w:rFonts w:ascii="Gill Sans MT" w:hAnsi="Gill Sans MT"/>
                        <w:color w:val="FFFFFF" w:themeColor="background1"/>
                        <w:sz w:val="28"/>
                        <w:szCs w:val="28"/>
                      </w:rPr>
                    </w:pPr>
                    <w:r w:rsidRPr="003F00E4">
                      <w:rPr>
                        <w:rFonts w:ascii="Gill Sans MT" w:hAnsi="Gill Sans MT"/>
                        <w:b/>
                        <w:bCs/>
                        <w:color w:val="FFFFFF" w:themeColor="background1"/>
                        <w:sz w:val="28"/>
                        <w:szCs w:val="28"/>
                      </w:rPr>
                      <w:t>TERMS OF REFERENCE</w:t>
                    </w:r>
                  </w:p>
                </w:txbxContent>
              </v:textbox>
            </v:shape>
          </w:pict>
        </mc:Fallback>
      </mc:AlternateContent>
    </w:r>
    <w:r>
      <w:rPr>
        <w:noProof/>
        <w:lang w:eastAsia="en-AU"/>
      </w:rPr>
      <w:drawing>
        <wp:anchor distT="0" distB="0" distL="114300" distR="114300" simplePos="0" relativeHeight="251665408" behindDoc="0" locked="0" layoutInCell="1" allowOverlap="1" wp14:anchorId="5A1BDC3B" wp14:editId="6A56A3DC">
          <wp:simplePos x="0" y="0"/>
          <wp:positionH relativeFrom="column">
            <wp:posOffset>-908050</wp:posOffset>
          </wp:positionH>
          <wp:positionV relativeFrom="page">
            <wp:align>top</wp:align>
          </wp:positionV>
          <wp:extent cx="7571105" cy="1649730"/>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Port_A4_to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105" cy="1649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427F4" w14:textId="23EBCFE4" w:rsidR="00845583" w:rsidRDefault="00E173F6">
    <w:pPr>
      <w:pStyle w:val="Header"/>
    </w:pPr>
    <w:r>
      <w:rPr>
        <w:noProof/>
      </w:rPr>
      <w:pict w14:anchorId="4D6B2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02734"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35F48"/>
    <w:multiLevelType w:val="hybridMultilevel"/>
    <w:tmpl w:val="B77205FA"/>
    <w:lvl w:ilvl="0" w:tplc="0C090001">
      <w:start w:val="1"/>
      <w:numFmt w:val="bullet"/>
      <w:lvlText w:val=""/>
      <w:lvlJc w:val="left"/>
      <w:pPr>
        <w:ind w:left="2505" w:hanging="360"/>
      </w:pPr>
      <w:rPr>
        <w:rFonts w:ascii="Symbol" w:hAnsi="Symbol" w:hint="default"/>
      </w:rPr>
    </w:lvl>
    <w:lvl w:ilvl="1" w:tplc="0C090003" w:tentative="1">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1" w15:restartNumberingAfterBreak="0">
    <w:nsid w:val="149B25FF"/>
    <w:multiLevelType w:val="hybridMultilevel"/>
    <w:tmpl w:val="DA2ECA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94005F"/>
    <w:multiLevelType w:val="hybridMultilevel"/>
    <w:tmpl w:val="B516BBDA"/>
    <w:lvl w:ilvl="0" w:tplc="0C090001">
      <w:start w:val="1"/>
      <w:numFmt w:val="bullet"/>
      <w:lvlText w:val=""/>
      <w:lvlJc w:val="left"/>
      <w:pPr>
        <w:ind w:left="871" w:hanging="360"/>
      </w:pPr>
      <w:rPr>
        <w:rFonts w:ascii="Symbol" w:hAnsi="Symbol" w:hint="default"/>
      </w:rPr>
    </w:lvl>
    <w:lvl w:ilvl="1" w:tplc="0C090003" w:tentative="1">
      <w:start w:val="1"/>
      <w:numFmt w:val="bullet"/>
      <w:lvlText w:val="o"/>
      <w:lvlJc w:val="left"/>
      <w:pPr>
        <w:ind w:left="1591" w:hanging="360"/>
      </w:pPr>
      <w:rPr>
        <w:rFonts w:ascii="Courier New" w:hAnsi="Courier New" w:cs="Courier New" w:hint="default"/>
      </w:rPr>
    </w:lvl>
    <w:lvl w:ilvl="2" w:tplc="0C090005" w:tentative="1">
      <w:start w:val="1"/>
      <w:numFmt w:val="bullet"/>
      <w:lvlText w:val=""/>
      <w:lvlJc w:val="left"/>
      <w:pPr>
        <w:ind w:left="2311" w:hanging="360"/>
      </w:pPr>
      <w:rPr>
        <w:rFonts w:ascii="Wingdings" w:hAnsi="Wingdings" w:hint="default"/>
      </w:rPr>
    </w:lvl>
    <w:lvl w:ilvl="3" w:tplc="0C090001" w:tentative="1">
      <w:start w:val="1"/>
      <w:numFmt w:val="bullet"/>
      <w:lvlText w:val=""/>
      <w:lvlJc w:val="left"/>
      <w:pPr>
        <w:ind w:left="3031" w:hanging="360"/>
      </w:pPr>
      <w:rPr>
        <w:rFonts w:ascii="Symbol" w:hAnsi="Symbol" w:hint="default"/>
      </w:rPr>
    </w:lvl>
    <w:lvl w:ilvl="4" w:tplc="0C090003" w:tentative="1">
      <w:start w:val="1"/>
      <w:numFmt w:val="bullet"/>
      <w:lvlText w:val="o"/>
      <w:lvlJc w:val="left"/>
      <w:pPr>
        <w:ind w:left="3751" w:hanging="360"/>
      </w:pPr>
      <w:rPr>
        <w:rFonts w:ascii="Courier New" w:hAnsi="Courier New" w:cs="Courier New" w:hint="default"/>
      </w:rPr>
    </w:lvl>
    <w:lvl w:ilvl="5" w:tplc="0C090005" w:tentative="1">
      <w:start w:val="1"/>
      <w:numFmt w:val="bullet"/>
      <w:lvlText w:val=""/>
      <w:lvlJc w:val="left"/>
      <w:pPr>
        <w:ind w:left="4471" w:hanging="360"/>
      </w:pPr>
      <w:rPr>
        <w:rFonts w:ascii="Wingdings" w:hAnsi="Wingdings" w:hint="default"/>
      </w:rPr>
    </w:lvl>
    <w:lvl w:ilvl="6" w:tplc="0C090001" w:tentative="1">
      <w:start w:val="1"/>
      <w:numFmt w:val="bullet"/>
      <w:lvlText w:val=""/>
      <w:lvlJc w:val="left"/>
      <w:pPr>
        <w:ind w:left="5191" w:hanging="360"/>
      </w:pPr>
      <w:rPr>
        <w:rFonts w:ascii="Symbol" w:hAnsi="Symbol" w:hint="default"/>
      </w:rPr>
    </w:lvl>
    <w:lvl w:ilvl="7" w:tplc="0C090003" w:tentative="1">
      <w:start w:val="1"/>
      <w:numFmt w:val="bullet"/>
      <w:lvlText w:val="o"/>
      <w:lvlJc w:val="left"/>
      <w:pPr>
        <w:ind w:left="5911" w:hanging="360"/>
      </w:pPr>
      <w:rPr>
        <w:rFonts w:ascii="Courier New" w:hAnsi="Courier New" w:cs="Courier New" w:hint="default"/>
      </w:rPr>
    </w:lvl>
    <w:lvl w:ilvl="8" w:tplc="0C090005" w:tentative="1">
      <w:start w:val="1"/>
      <w:numFmt w:val="bullet"/>
      <w:lvlText w:val=""/>
      <w:lvlJc w:val="left"/>
      <w:pPr>
        <w:ind w:left="6631" w:hanging="360"/>
      </w:pPr>
      <w:rPr>
        <w:rFonts w:ascii="Wingdings" w:hAnsi="Wingdings" w:hint="default"/>
      </w:rPr>
    </w:lvl>
  </w:abstractNum>
  <w:abstractNum w:abstractNumId="3" w15:restartNumberingAfterBreak="0">
    <w:nsid w:val="2B922B5E"/>
    <w:multiLevelType w:val="hybridMultilevel"/>
    <w:tmpl w:val="79680D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F34C2D"/>
    <w:multiLevelType w:val="hybridMultilevel"/>
    <w:tmpl w:val="A1D62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A76AA6"/>
    <w:multiLevelType w:val="multilevel"/>
    <w:tmpl w:val="5B78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7022E9"/>
    <w:multiLevelType w:val="hybridMultilevel"/>
    <w:tmpl w:val="DAC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1F3695"/>
    <w:multiLevelType w:val="hybridMultilevel"/>
    <w:tmpl w:val="45AAE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4D"/>
    <w:rsid w:val="000655D3"/>
    <w:rsid w:val="000957DB"/>
    <w:rsid w:val="0009778A"/>
    <w:rsid w:val="00146CE1"/>
    <w:rsid w:val="00164933"/>
    <w:rsid w:val="001B2032"/>
    <w:rsid w:val="001D11B8"/>
    <w:rsid w:val="001F2472"/>
    <w:rsid w:val="002557F7"/>
    <w:rsid w:val="003B2C4B"/>
    <w:rsid w:val="003B3247"/>
    <w:rsid w:val="003B67EE"/>
    <w:rsid w:val="00410F6F"/>
    <w:rsid w:val="00486CA3"/>
    <w:rsid w:val="004A4D4D"/>
    <w:rsid w:val="0052745C"/>
    <w:rsid w:val="005D68BD"/>
    <w:rsid w:val="005F4FFD"/>
    <w:rsid w:val="00664608"/>
    <w:rsid w:val="006B5EE5"/>
    <w:rsid w:val="0076600D"/>
    <w:rsid w:val="007728BA"/>
    <w:rsid w:val="00772901"/>
    <w:rsid w:val="00845583"/>
    <w:rsid w:val="00855BFB"/>
    <w:rsid w:val="00891C1A"/>
    <w:rsid w:val="0095150A"/>
    <w:rsid w:val="00960C1C"/>
    <w:rsid w:val="009D06F8"/>
    <w:rsid w:val="009D5B0F"/>
    <w:rsid w:val="00B40671"/>
    <w:rsid w:val="00B51D84"/>
    <w:rsid w:val="00BA0B6F"/>
    <w:rsid w:val="00BD0DB0"/>
    <w:rsid w:val="00C54FBB"/>
    <w:rsid w:val="00C87843"/>
    <w:rsid w:val="00C92240"/>
    <w:rsid w:val="00D66FDB"/>
    <w:rsid w:val="00DD5ED6"/>
    <w:rsid w:val="00DF6514"/>
    <w:rsid w:val="00E173F6"/>
    <w:rsid w:val="00E86392"/>
    <w:rsid w:val="00F27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FA8B2B"/>
  <w15:chartTrackingRefBased/>
  <w15:docId w15:val="{363A0D50-D066-438D-86EF-E0FA6A9B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D4D"/>
    <w:pPr>
      <w:spacing w:after="0" w:line="240" w:lineRule="auto"/>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D4D"/>
    <w:pPr>
      <w:spacing w:after="200" w:line="276" w:lineRule="auto"/>
      <w:ind w:left="720"/>
      <w:contextualSpacing/>
    </w:pPr>
    <w:rPr>
      <w:rFonts w:eastAsiaTheme="minorHAnsi" w:cstheme="minorBidi"/>
      <w:szCs w:val="22"/>
      <w:lang w:val="en-AU"/>
    </w:rPr>
  </w:style>
  <w:style w:type="paragraph" w:customStyle="1" w:styleId="Default">
    <w:name w:val="Default"/>
    <w:rsid w:val="004A4D4D"/>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Header">
    <w:name w:val="header"/>
    <w:basedOn w:val="Normal"/>
    <w:link w:val="HeaderChar"/>
    <w:uiPriority w:val="99"/>
    <w:unhideWhenUsed/>
    <w:rsid w:val="00845583"/>
    <w:pPr>
      <w:tabs>
        <w:tab w:val="center" w:pos="4513"/>
        <w:tab w:val="right" w:pos="9026"/>
      </w:tabs>
    </w:pPr>
  </w:style>
  <w:style w:type="character" w:customStyle="1" w:styleId="HeaderChar">
    <w:name w:val="Header Char"/>
    <w:basedOn w:val="DefaultParagraphFont"/>
    <w:link w:val="Header"/>
    <w:uiPriority w:val="99"/>
    <w:rsid w:val="00845583"/>
    <w:rPr>
      <w:rFonts w:ascii="Arial" w:eastAsia="Times New Roman" w:hAnsi="Arial" w:cs="Times New Roman"/>
      <w:szCs w:val="20"/>
      <w:lang w:val="en-GB"/>
    </w:rPr>
  </w:style>
  <w:style w:type="paragraph" w:styleId="Footer">
    <w:name w:val="footer"/>
    <w:basedOn w:val="Normal"/>
    <w:link w:val="FooterChar"/>
    <w:uiPriority w:val="99"/>
    <w:unhideWhenUsed/>
    <w:rsid w:val="00845583"/>
    <w:pPr>
      <w:tabs>
        <w:tab w:val="center" w:pos="4513"/>
        <w:tab w:val="right" w:pos="9026"/>
      </w:tabs>
    </w:pPr>
  </w:style>
  <w:style w:type="character" w:customStyle="1" w:styleId="FooterChar">
    <w:name w:val="Footer Char"/>
    <w:basedOn w:val="DefaultParagraphFont"/>
    <w:link w:val="Footer"/>
    <w:uiPriority w:val="99"/>
    <w:rsid w:val="00845583"/>
    <w:rPr>
      <w:rFonts w:ascii="Arial" w:eastAsia="Times New Roman" w:hAnsi="Arial" w:cs="Times New Roman"/>
      <w:szCs w:val="20"/>
      <w:lang w:val="en-GB"/>
    </w:rPr>
  </w:style>
  <w:style w:type="table" w:styleId="TableGrid">
    <w:name w:val="Table Grid"/>
    <w:basedOn w:val="TableNormal"/>
    <w:uiPriority w:val="59"/>
    <w:rsid w:val="003B3247"/>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66FDB"/>
    <w:rPr>
      <w:sz w:val="16"/>
      <w:szCs w:val="16"/>
    </w:rPr>
  </w:style>
  <w:style w:type="paragraph" w:styleId="CommentText">
    <w:name w:val="annotation text"/>
    <w:basedOn w:val="Normal"/>
    <w:link w:val="CommentTextChar"/>
    <w:uiPriority w:val="99"/>
    <w:semiHidden/>
    <w:unhideWhenUsed/>
    <w:rsid w:val="00D66FDB"/>
    <w:rPr>
      <w:sz w:val="20"/>
    </w:rPr>
  </w:style>
  <w:style w:type="character" w:customStyle="1" w:styleId="CommentTextChar">
    <w:name w:val="Comment Text Char"/>
    <w:basedOn w:val="DefaultParagraphFont"/>
    <w:link w:val="CommentText"/>
    <w:uiPriority w:val="99"/>
    <w:semiHidden/>
    <w:rsid w:val="00D66FDB"/>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66FDB"/>
    <w:rPr>
      <w:b/>
      <w:bCs/>
    </w:rPr>
  </w:style>
  <w:style w:type="character" w:customStyle="1" w:styleId="CommentSubjectChar">
    <w:name w:val="Comment Subject Char"/>
    <w:basedOn w:val="CommentTextChar"/>
    <w:link w:val="CommentSubject"/>
    <w:uiPriority w:val="99"/>
    <w:semiHidden/>
    <w:rsid w:val="00D66FDB"/>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D66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D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174124">
      <w:bodyDiv w:val="1"/>
      <w:marLeft w:val="0"/>
      <w:marRight w:val="0"/>
      <w:marTop w:val="0"/>
      <w:marBottom w:val="0"/>
      <w:divBdr>
        <w:top w:val="none" w:sz="0" w:space="0" w:color="auto"/>
        <w:left w:val="none" w:sz="0" w:space="0" w:color="auto"/>
        <w:bottom w:val="none" w:sz="0" w:space="0" w:color="auto"/>
        <w:right w:val="none" w:sz="0" w:space="0" w:color="auto"/>
      </w:divBdr>
    </w:div>
    <w:div w:id="1157458580">
      <w:bodyDiv w:val="1"/>
      <w:marLeft w:val="0"/>
      <w:marRight w:val="0"/>
      <w:marTop w:val="0"/>
      <w:marBottom w:val="0"/>
      <w:divBdr>
        <w:top w:val="none" w:sz="0" w:space="0" w:color="auto"/>
        <w:left w:val="none" w:sz="0" w:space="0" w:color="auto"/>
        <w:bottom w:val="none" w:sz="0" w:space="0" w:color="auto"/>
        <w:right w:val="none" w:sz="0" w:space="0" w:color="auto"/>
      </w:divBdr>
    </w:div>
    <w:div w:id="1491025330">
      <w:bodyDiv w:val="1"/>
      <w:marLeft w:val="0"/>
      <w:marRight w:val="0"/>
      <w:marTop w:val="0"/>
      <w:marBottom w:val="0"/>
      <w:divBdr>
        <w:top w:val="none" w:sz="0" w:space="0" w:color="auto"/>
        <w:left w:val="none" w:sz="0" w:space="0" w:color="auto"/>
        <w:bottom w:val="none" w:sz="0" w:space="0" w:color="auto"/>
        <w:right w:val="none" w:sz="0" w:space="0" w:color="auto"/>
      </w:divBdr>
    </w:div>
    <w:div w:id="190814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Keenan</dc:creator>
  <cp:keywords/>
  <dc:description/>
  <cp:lastModifiedBy>Cathy Horsley</cp:lastModifiedBy>
  <cp:revision>2</cp:revision>
  <dcterms:created xsi:type="dcterms:W3CDTF">2022-04-07T03:57:00Z</dcterms:created>
  <dcterms:modified xsi:type="dcterms:W3CDTF">2022-04-07T03:57:00Z</dcterms:modified>
</cp:coreProperties>
</file>